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61"/>
      </w:tblGrid>
      <w:tr w:rsidR="00A86D9A" w:rsidRPr="00156FA3" w:rsidTr="00A86D9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28"/>
            </w:tblGrid>
            <w:tr w:rsidR="00A86D9A" w:rsidRPr="00156FA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b/>
                      <w:bCs/>
                      <w:lang w:val="es-ES_tradnl"/>
                    </w:rPr>
                    <w:t>SECRETARÍA DE COMERCIO INTERIOR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b/>
                      <w:bCs/>
                      <w:lang w:val="es-ES_tradnl"/>
                    </w:rPr>
                    <w:t>Resolución N° 117/2013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Buenos Aires, 30 de Octubre de 2013.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VISTO el Expediente Nº S01:0231793/2013 del Registro del MINISTERIO DE ECONOMIA Y FINANZAS PUBLICAS, y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CONSIDERANDO: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Que, a través del expediente citado en el Visto el Presidente del Consejo Directivo del INSTITUTO NACIONAL DE TECNOLOGIA INDUSTRIAL solicita se tenga a bien instrumentar una prórroga de la fecha establecida para el cumplimiento de los reglamentos aprobados para medidores de agua potable fría, de gas a diafragma y ultrasónicos de gas y para sistemas de medición de gas natural comprimido de uso vehicular, hasta el 31 de diciembre de 2015.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Que dicho pedido se fundamenta en que el INTI requiere mejoras en infraestructura, equipamiento y recursos humanos para afrontar la tarea de verificación relativa a los reglamentos en cuestión.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Que, como consecuencia de tal pedido, resulta necesario modificar lo dispuesto en las </w:t>
                  </w:r>
                  <w:hyperlink r:id="rId4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Resoluciones Nº 91 de fecha 11 de setiembre de 2012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, </w:t>
                  </w:r>
                  <w:hyperlink r:id="rId5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Nº 20 del 11 de marzo de 2013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, </w:t>
                  </w:r>
                  <w:hyperlink r:id="rId6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Nº 89 de fecha 10 de setiembre de 2012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y </w:t>
                  </w:r>
                  <w:hyperlink r:id="rId7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Nº 88 del 7 de setiembre de 2012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>, de la SECRETARIA DE COMERCIO INTERIOR, dependiente del MINISTERIO DE ECONOMIA Y FINANZAS PUBLICAS DE LA NACION.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Que la Dirección de Legales del </w:t>
                  </w:r>
                  <w:r w:rsidR="00EF0167" w:rsidRPr="00156FA3">
                    <w:rPr>
                      <w:rFonts w:eastAsia="Times New Roman" w:cs="Times New Roman"/>
                      <w:lang w:val="es-ES_tradnl"/>
                    </w:rPr>
                    <w:t>Área</w:t>
                  </w: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de Comercio Interior, dependiente de la Dirección General de Asuntos Jurídicos del MINISTERIO DE ECONOMIA Y FINANZAS PUBLICAS, ha tomado la intervención que le compete.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Que la presente medida se dicta en virtud de las facultades otorgadas por el Artículo 2°, incisos a), h) e i) del </w:t>
                  </w:r>
                  <w:hyperlink r:id="rId8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Decreto Nº 788/03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>.</w:t>
                  </w:r>
                </w:p>
                <w:p w:rsid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Por ello,</w:t>
                  </w:r>
                </w:p>
                <w:p w:rsid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EL SECRETARIO DE COMERCIO INTERIOR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RESUELVE: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b/>
                      <w:bCs/>
                      <w:lang w:val="es-ES_tradnl"/>
                    </w:rPr>
                    <w:t>Artículo 1° —</w:t>
                  </w: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Prorrógase hasta el 31 de diciembre de 2015 la exigencia establecida en el Artículo 2° de las </w:t>
                  </w:r>
                  <w:hyperlink r:id="rId9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Resoluciones SCI Nº 91/2012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, </w:t>
                  </w:r>
                  <w:hyperlink r:id="rId10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SCI Nº 20/2013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, </w:t>
                  </w:r>
                  <w:hyperlink r:id="rId11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SCI Nº 89/2012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y </w:t>
                  </w:r>
                  <w:hyperlink r:id="rId12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SCI Nº 88/2012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>, relativo al cumplimiento de los Reglamentos Técnicos y Metrológicos aprobados por las mismas.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b/>
                      <w:bCs/>
                      <w:lang w:val="es-ES_tradnl"/>
                    </w:rPr>
                    <w:lastRenderedPageBreak/>
                    <w:t>Art. 2° —</w:t>
                  </w: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Sustitúyese el Artículo 3° de la </w:t>
                  </w:r>
                  <w:hyperlink r:id="rId13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Resolución SCI Nº 89/2012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por el siguiente: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“ARTICULO 3°.- Los Sistemas de Medición de Gas Natural con Medidor ultrasónico, así como sus dispositivos principales, que se encuentren instalados en el país, o que se instalen hasta el 30 de diciembre de 2015, deberán dar cumplimiento al Reglamento Metrológico y Técnico aprobado en el Artículo 1° de la presente resolución, a partir del día 1° de enero de 2020”.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b/>
                      <w:bCs/>
                      <w:lang w:val="es-ES_tradnl"/>
                    </w:rPr>
                    <w:t>Art. 3° —</w:t>
                  </w: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Sustitúyese el Artículo 4° de la </w:t>
                  </w:r>
                  <w:hyperlink r:id="rId14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Resolución SCI Nº 89/2012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por el siguiente: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“ARTICULO 4°.- Los Sistemas de Medición de Gas Natural con Medidor ultrasónico, así como sus dispositivos principales, que se encuentren instalados en el país, o que se instalen hasta el 30 de diciembre de 2015 deberán acreditar que satisfacen los ensayos del punto 7.4 del citado Reglamento, realizando una Verificación Primitiva de </w:t>
                  </w:r>
                  <w:proofErr w:type="spellStart"/>
                  <w:r w:rsidRPr="00156FA3">
                    <w:rPr>
                      <w:rFonts w:eastAsia="Times New Roman" w:cs="Times New Roman"/>
                      <w:lang w:val="es-ES_tradnl"/>
                    </w:rPr>
                    <w:t>Unica</w:t>
                  </w:r>
                  <w:proofErr w:type="spellEnd"/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Unidad, en los términos del Anexo II de la </w:t>
                  </w:r>
                  <w:hyperlink r:id="rId15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Resolución Nº 48 de fecha 18 de setiembre de 2003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>, de la ex SECRETARIA DE COORDINACION TECNICA del ex MINISTERIO DE ECONOMIA Y PRODUCCION, cuyo vencimiento operará el día 1° de enero de 2020.”.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b/>
                      <w:bCs/>
                      <w:lang w:val="es-ES_tradnl"/>
                    </w:rPr>
                    <w:t>Art. 4° —</w:t>
                  </w: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Sustitúyese el Artículo 5° de la </w:t>
                  </w:r>
                  <w:hyperlink r:id="rId16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Resolución SCI Nº 89/2012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por el siguiente: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“ARTICULO 5°.- A efectos de implementar lo dispuesto en el Artículo 4° de la presente resolución, los instrumentos de medición mencionados en el mismo, deberán obtener la Verificación Primitiva de </w:t>
                  </w:r>
                  <w:r w:rsidR="00EF0167" w:rsidRPr="00156FA3">
                    <w:rPr>
                      <w:rFonts w:eastAsia="Times New Roman" w:cs="Times New Roman"/>
                      <w:lang w:val="es-ES_tradnl"/>
                    </w:rPr>
                    <w:t>Única</w:t>
                  </w: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Unidad acorde con el siguiente cronograma: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a) Los sistemas y componentes instalados con anterioridad al 30 de diciembre de 2012, el día 31 de diciembre de 2016.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b) Los sistemas y componentes instalados entre el 31 de diciembre de 2012 y el 30 de diciembre de 2013, el día 31 de diciembre de 2017.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c) Los sistemas y componentes instalados entre el 31 de diciembre de 2013 y el 30 de diciembre de 2015, el día 31 de diciembre de 2018.”.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b/>
                      <w:bCs/>
                      <w:lang w:val="es-ES_tradnl"/>
                    </w:rPr>
                    <w:t>Art. 5° —</w:t>
                  </w: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Sustitúyese el Artículo 3° de la </w:t>
                  </w:r>
                  <w:hyperlink r:id="rId17" w:history="1">
                    <w:r w:rsidRPr="00156FA3">
                      <w:rPr>
                        <w:rFonts w:eastAsia="Times New Roman" w:cs="Times New Roman"/>
                        <w:color w:val="0000FF"/>
                        <w:u w:val="single"/>
                        <w:lang w:val="es-ES_tradnl"/>
                      </w:rPr>
                      <w:t>Resolución SCI Nº 88/2012</w:t>
                    </w:r>
                  </w:hyperlink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por el siguiente:</w:t>
                  </w:r>
                </w:p>
                <w:p w:rsidR="00A86D9A" w:rsidRPr="00156FA3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lang w:val="es-ES_tradnl"/>
                    </w:rPr>
                    <w:t>“ARTICULO 3°.- Los Sistemas de Medición de Gas Natural Comprimido de Uso Vehicular, así como sus dispositivos principales, auxiliares y adicionales, que se encuentren instalados en el país, a la fecha de entrada en vigencia de la presente resolución o que se instalen hasta el 30 de diciembre de 2015, deberán dar cumplimiento al Reglamento Metrológico y Técnico aprobado en el Artículo 1° de la presente resolución, a partir del día 1° de enero de 2022, excepto en lo que respecta a las exigencias de los puntos 4.1.3 y 5.4 del Anexo a la misma, que deberán cumplirse a partir del 31 de diciembre de 2015.”.</w:t>
                  </w:r>
                </w:p>
                <w:p w:rsidR="00A86D9A" w:rsidRPr="00A86D9A" w:rsidRDefault="00A86D9A" w:rsidP="00156FA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_tradnl"/>
                    </w:rPr>
                  </w:pPr>
                  <w:r w:rsidRPr="00156FA3">
                    <w:rPr>
                      <w:rFonts w:eastAsia="Times New Roman" w:cs="Times New Roman"/>
                      <w:b/>
                      <w:bCs/>
                      <w:lang w:val="es-ES_tradnl"/>
                    </w:rPr>
                    <w:t>Art. 6° —</w:t>
                  </w:r>
                  <w:r w:rsidRPr="00156FA3">
                    <w:rPr>
                      <w:rFonts w:eastAsia="Times New Roman" w:cs="Times New Roman"/>
                      <w:lang w:val="es-ES_tradnl"/>
                    </w:rPr>
                    <w:t xml:space="preserve"> Comuníquese, publíquese, dése a la Dirección Nacional del Registro Oficial y archívese. — Mario G. Moreno.</w:t>
                  </w:r>
                </w:p>
              </w:tc>
            </w:tr>
          </w:tbl>
          <w:p w:rsidR="00A86D9A" w:rsidRPr="00A86D9A" w:rsidRDefault="00A86D9A" w:rsidP="00A8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A86D9A" w:rsidRPr="00156FA3" w:rsidTr="00A86D9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6D9A" w:rsidRPr="00A86D9A" w:rsidRDefault="00A86D9A" w:rsidP="00A8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A86D9A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lastRenderedPageBreak/>
              <w:t> </w:t>
            </w:r>
          </w:p>
        </w:tc>
      </w:tr>
    </w:tbl>
    <w:p w:rsidR="007A69AC" w:rsidRPr="00A86D9A" w:rsidRDefault="007A69AC">
      <w:pPr>
        <w:rPr>
          <w:lang w:val="es-ES_tradnl"/>
        </w:rPr>
      </w:pPr>
    </w:p>
    <w:sectPr w:rsidR="007A69AC" w:rsidRPr="00A86D9A" w:rsidSect="007A69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86D9A"/>
    <w:rsid w:val="00156FA3"/>
    <w:rsid w:val="007A69AC"/>
    <w:rsid w:val="00A86D9A"/>
    <w:rsid w:val="00E719BB"/>
    <w:rsid w:val="00EF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86D9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86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far.com/tarifar/biblioteca/legislacion/showLeg.jsp?idLey=29563" TargetMode="External"/><Relationship Id="rId13" Type="http://schemas.openxmlformats.org/officeDocument/2006/relationships/hyperlink" Target="http://www.tarifar.com/tarifar/biblioteca/legislacion/showLeg.jsp?idLey=2956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rifar.com/tarifar/biblioteca/legislacion/showLeg.jsp?idLey=29563" TargetMode="External"/><Relationship Id="rId12" Type="http://schemas.openxmlformats.org/officeDocument/2006/relationships/hyperlink" Target="http://www.tarifar.com/tarifar/biblioteca/legislacion/showLeg.jsp?idLey=29563" TargetMode="External"/><Relationship Id="rId17" Type="http://schemas.openxmlformats.org/officeDocument/2006/relationships/hyperlink" Target="http://www.tarifar.com/tarifar/biblioteca/legislacion/showLeg.jsp?idLey=295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rifar.com/tarifar/biblioteca/legislacion/showLeg.jsp?idLey=2956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rifar.com/tarifar/biblioteca/legislacion/showLeg.jsp?idLey=29563" TargetMode="External"/><Relationship Id="rId11" Type="http://schemas.openxmlformats.org/officeDocument/2006/relationships/hyperlink" Target="http://www.tarifar.com/tarifar/biblioteca/legislacion/showLeg.jsp?idLey=29563" TargetMode="External"/><Relationship Id="rId5" Type="http://schemas.openxmlformats.org/officeDocument/2006/relationships/hyperlink" Target="http://www.tarifar.com/tarifar/biblioteca/legislacion/showLeg.jsp?idLey=29563" TargetMode="External"/><Relationship Id="rId15" Type="http://schemas.openxmlformats.org/officeDocument/2006/relationships/hyperlink" Target="http://www.tarifar.com/tarifar/biblioteca/legislacion/showLeg.jsp?idLey=29563" TargetMode="External"/><Relationship Id="rId10" Type="http://schemas.openxmlformats.org/officeDocument/2006/relationships/hyperlink" Target="http://www.tarifar.com/tarifar/biblioteca/legislacion/showLeg.jsp?idLey=2956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tarifar.com/tarifar/biblioteca/legislacion/showLeg.jsp?idLey=29563" TargetMode="External"/><Relationship Id="rId9" Type="http://schemas.openxmlformats.org/officeDocument/2006/relationships/hyperlink" Target="http://www.tarifar.com/tarifar/biblioteca/legislacion/showLeg.jsp?idLey=29563" TargetMode="External"/><Relationship Id="rId14" Type="http://schemas.openxmlformats.org/officeDocument/2006/relationships/hyperlink" Target="http://www.tarifar.com/tarifar/biblioteca/legislacion/showLeg.jsp?idLey=2956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4929</Characters>
  <Application>Microsoft Office Word</Application>
  <DocSecurity>0</DocSecurity>
  <Lines>41</Lines>
  <Paragraphs>11</Paragraphs>
  <ScaleCrop>false</ScaleCrop>
  <Company>ADIMRA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Aldo</cp:lastModifiedBy>
  <cp:revision>2</cp:revision>
  <dcterms:created xsi:type="dcterms:W3CDTF">2013-11-05T20:50:00Z</dcterms:created>
  <dcterms:modified xsi:type="dcterms:W3CDTF">2013-11-05T20:50:00Z</dcterms:modified>
</cp:coreProperties>
</file>