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E0" w:rsidRDefault="00D637E0" w:rsidP="00D637E0">
      <w:r>
        <w:t>En el momento actual, las principales fuerzas motrices que actúan sobre las empresas son las exigencias del cliente y las del Estado. Además, los costos de las materias primas y la productividad son factores muy relevantes en el incremento de la competitividad por parte de las organizaciones. Son varias las circunstancias que impulsan a la puesta en marcha de manera inmediata de alguna medida en pos de la mejor actuación de la empresa respecto a sus efectos sobre la sostenibilidad regional y global.</w:t>
      </w:r>
    </w:p>
    <w:p w:rsidR="00D637E0" w:rsidRDefault="00D637E0" w:rsidP="00D637E0">
      <w:r>
        <w:t>Uno de los objetivos de la jornada es la exposición de herramientas de diseño para hacer más sostenible, innovador y eficiente el tejido empresarial, a través de la incorporación de variables ambientales y económico-sociales en su proceso productivo. Expondrán expertos vinculados a la temática.</w:t>
      </w:r>
    </w:p>
    <w:p w:rsidR="00D637E0" w:rsidRDefault="00D637E0" w:rsidP="00D637E0">
      <w:r>
        <w:t>Otro de los objetivos es impulsar el lanzamiento de un marco de colaboración que ayude a las empresas a afrontar las exigencias y a establecer las estrategias de anticipación a los retos futuros. La sustitución de importaciones, la integración de la sostenibilidad en la actividad económica y el impulso de una economía basada en la innovación y el cambio tecnológico se presentan como acciones prioritarias para sortear la crisis mundial y abordar nuevos mercados.</w:t>
      </w:r>
    </w:p>
    <w:p w:rsidR="00D637E0" w:rsidRDefault="00D637E0" w:rsidP="00D637E0">
      <w:r>
        <w:t>Existen grandes retos, legislativos y de mercado, que están afectando a la empresa y la industria en estos tiempos y que se convierten en motor de una optimización de los procesos productivos para alcanzar bienes con mejor desempeño económico y social y menor impacto en el entorno medioambiental.</w:t>
      </w:r>
    </w:p>
    <w:sectPr w:rsidR="00D637E0" w:rsidSect="00BB0B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37E0"/>
    <w:rsid w:val="00BB0B96"/>
    <w:rsid w:val="00D6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B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Luciana</cp:lastModifiedBy>
  <cp:revision>1</cp:revision>
  <dcterms:created xsi:type="dcterms:W3CDTF">2013-10-24T14:38:00Z</dcterms:created>
  <dcterms:modified xsi:type="dcterms:W3CDTF">2013-10-24T14:39:00Z</dcterms:modified>
</cp:coreProperties>
</file>