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04" w:type="pct"/>
        <w:tblCellSpacing w:w="7" w:type="dxa"/>
        <w:tblInd w:w="-665" w:type="dxa"/>
        <w:tblCellMar>
          <w:top w:w="30" w:type="dxa"/>
          <w:left w:w="30" w:type="dxa"/>
          <w:bottom w:w="30" w:type="dxa"/>
          <w:right w:w="30" w:type="dxa"/>
        </w:tblCellMar>
        <w:tblLook w:val="04A0"/>
      </w:tblPr>
      <w:tblGrid>
        <w:gridCol w:w="1295"/>
        <w:gridCol w:w="644"/>
        <w:gridCol w:w="888"/>
        <w:gridCol w:w="6999"/>
      </w:tblGrid>
      <w:tr w:rsidR="008A4788" w:rsidRPr="008A4788" w:rsidTr="008A4788">
        <w:trPr>
          <w:tblCellSpacing w:w="7" w:type="dxa"/>
        </w:trPr>
        <w:tc>
          <w:tcPr>
            <w:tcW w:w="0" w:type="auto"/>
            <w:shd w:val="clear" w:color="auto" w:fill="FAF4FC"/>
            <w:vAlign w:val="center"/>
            <w:hideMark/>
          </w:tcPr>
          <w:p w:rsidR="008A4788" w:rsidRPr="008A4788" w:rsidRDefault="008A4788" w:rsidP="008A4788">
            <w:pPr>
              <w:spacing w:after="0" w:line="240" w:lineRule="auto"/>
              <w:rPr>
                <w:rFonts w:ascii="Tahoma" w:eastAsia="Times New Roman" w:hAnsi="Tahoma" w:cs="Tahoma"/>
                <w:b/>
                <w:bCs/>
                <w:color w:val="9C3A9C"/>
                <w:sz w:val="17"/>
                <w:szCs w:val="17"/>
              </w:rPr>
            </w:pPr>
            <w:proofErr w:type="spellStart"/>
            <w:r w:rsidRPr="008A4788">
              <w:rPr>
                <w:rFonts w:ascii="Tahoma" w:eastAsia="Times New Roman" w:hAnsi="Tahoma" w:cs="Tahoma"/>
                <w:b/>
                <w:bCs/>
                <w:color w:val="9C3A9C"/>
                <w:sz w:val="17"/>
                <w:szCs w:val="17"/>
              </w:rPr>
              <w:t>Tipo</w:t>
            </w:r>
            <w:proofErr w:type="spellEnd"/>
            <w:r w:rsidRPr="008A4788">
              <w:rPr>
                <w:rFonts w:ascii="Tahoma" w:eastAsia="Times New Roman" w:hAnsi="Tahoma" w:cs="Tahoma"/>
                <w:b/>
                <w:bCs/>
                <w:color w:val="9C3A9C"/>
                <w:sz w:val="17"/>
                <w:szCs w:val="17"/>
              </w:rPr>
              <w:t>: </w:t>
            </w:r>
            <w:r w:rsidRPr="008A4788">
              <w:rPr>
                <w:rFonts w:ascii="Tahoma" w:eastAsia="Times New Roman" w:hAnsi="Tahoma" w:cs="Tahoma"/>
                <w:color w:val="333333"/>
                <w:sz w:val="17"/>
                <w:szCs w:val="17"/>
              </w:rPr>
              <w:t>DECRETO</w:t>
            </w:r>
          </w:p>
        </w:tc>
        <w:tc>
          <w:tcPr>
            <w:tcW w:w="0" w:type="auto"/>
            <w:shd w:val="clear" w:color="auto" w:fill="FAF4FC"/>
            <w:vAlign w:val="center"/>
            <w:hideMark/>
          </w:tcPr>
          <w:p w:rsidR="008A4788" w:rsidRPr="008A4788" w:rsidRDefault="008A4788" w:rsidP="008A4788">
            <w:pPr>
              <w:spacing w:after="0" w:line="240" w:lineRule="auto"/>
              <w:rPr>
                <w:rFonts w:ascii="Tahoma" w:eastAsia="Times New Roman" w:hAnsi="Tahoma" w:cs="Tahoma"/>
                <w:b/>
                <w:bCs/>
                <w:color w:val="9C3A9C"/>
                <w:sz w:val="17"/>
                <w:szCs w:val="17"/>
              </w:rPr>
            </w:pPr>
            <w:r w:rsidRPr="008A4788">
              <w:rPr>
                <w:rFonts w:ascii="Tahoma" w:eastAsia="Times New Roman" w:hAnsi="Tahoma" w:cs="Tahoma"/>
                <w:b/>
                <w:bCs/>
                <w:color w:val="9C3A9C"/>
                <w:sz w:val="17"/>
                <w:szCs w:val="17"/>
              </w:rPr>
              <w:t> Nº: </w:t>
            </w:r>
            <w:r w:rsidRPr="008A4788">
              <w:rPr>
                <w:rFonts w:ascii="Tahoma" w:eastAsia="Times New Roman" w:hAnsi="Tahoma" w:cs="Tahoma"/>
                <w:color w:val="333333"/>
                <w:sz w:val="17"/>
                <w:szCs w:val="17"/>
              </w:rPr>
              <w:t>25</w:t>
            </w:r>
          </w:p>
        </w:tc>
        <w:tc>
          <w:tcPr>
            <w:tcW w:w="0" w:type="auto"/>
            <w:shd w:val="clear" w:color="auto" w:fill="FAF4FC"/>
            <w:vAlign w:val="center"/>
            <w:hideMark/>
          </w:tcPr>
          <w:p w:rsidR="008A4788" w:rsidRPr="008A4788" w:rsidRDefault="008A4788" w:rsidP="008A4788">
            <w:pPr>
              <w:spacing w:after="0" w:line="240" w:lineRule="auto"/>
              <w:rPr>
                <w:rFonts w:ascii="Tahoma" w:eastAsia="Times New Roman" w:hAnsi="Tahoma" w:cs="Tahoma"/>
                <w:b/>
                <w:bCs/>
                <w:color w:val="9C3A9C"/>
                <w:sz w:val="17"/>
                <w:szCs w:val="17"/>
              </w:rPr>
            </w:pPr>
            <w:proofErr w:type="spellStart"/>
            <w:r w:rsidRPr="008A4788">
              <w:rPr>
                <w:rFonts w:ascii="Tahoma" w:eastAsia="Times New Roman" w:hAnsi="Tahoma" w:cs="Tahoma"/>
                <w:b/>
                <w:bCs/>
                <w:color w:val="9C3A9C"/>
                <w:sz w:val="17"/>
                <w:szCs w:val="17"/>
              </w:rPr>
              <w:t>Año</w:t>
            </w:r>
            <w:proofErr w:type="spellEnd"/>
            <w:r w:rsidRPr="008A4788">
              <w:rPr>
                <w:rFonts w:ascii="Tahoma" w:eastAsia="Times New Roman" w:hAnsi="Tahoma" w:cs="Tahoma"/>
                <w:b/>
                <w:bCs/>
                <w:color w:val="9C3A9C"/>
                <w:sz w:val="17"/>
                <w:szCs w:val="17"/>
              </w:rPr>
              <w:t>:</w:t>
            </w:r>
            <w:r w:rsidRPr="008A4788">
              <w:rPr>
                <w:rFonts w:ascii="Tahoma" w:eastAsia="Times New Roman" w:hAnsi="Tahoma" w:cs="Tahoma"/>
                <w:b/>
                <w:bCs/>
                <w:color w:val="9C3A9C"/>
                <w:sz w:val="17"/>
              </w:rPr>
              <w:t> </w:t>
            </w:r>
            <w:r w:rsidRPr="008A4788">
              <w:rPr>
                <w:rFonts w:ascii="Tahoma" w:eastAsia="Times New Roman" w:hAnsi="Tahoma" w:cs="Tahoma"/>
                <w:color w:val="333333"/>
                <w:sz w:val="17"/>
                <w:szCs w:val="17"/>
              </w:rPr>
              <w:t>2013</w:t>
            </w:r>
          </w:p>
        </w:tc>
        <w:tc>
          <w:tcPr>
            <w:tcW w:w="6978" w:type="dxa"/>
            <w:shd w:val="clear" w:color="auto" w:fill="FAF4FC"/>
            <w:vAlign w:val="center"/>
            <w:hideMark/>
          </w:tcPr>
          <w:p w:rsidR="008A4788" w:rsidRPr="008A4788" w:rsidRDefault="008A4788" w:rsidP="008A4788">
            <w:pPr>
              <w:spacing w:after="0" w:line="240" w:lineRule="auto"/>
              <w:jc w:val="right"/>
              <w:rPr>
                <w:rFonts w:ascii="Tahoma" w:eastAsia="Times New Roman" w:hAnsi="Tahoma" w:cs="Tahoma"/>
                <w:b/>
                <w:bCs/>
                <w:color w:val="9C3A9C"/>
                <w:sz w:val="17"/>
                <w:szCs w:val="17"/>
              </w:rPr>
            </w:pPr>
            <w:proofErr w:type="spellStart"/>
            <w:r w:rsidRPr="008A4788">
              <w:rPr>
                <w:rFonts w:ascii="Tahoma" w:eastAsia="Times New Roman" w:hAnsi="Tahoma" w:cs="Tahoma"/>
                <w:b/>
                <w:bCs/>
                <w:color w:val="9C3A9C"/>
                <w:sz w:val="17"/>
                <w:szCs w:val="17"/>
              </w:rPr>
              <w:t>Organismo</w:t>
            </w:r>
            <w:proofErr w:type="spellEnd"/>
            <w:r w:rsidRPr="008A4788">
              <w:rPr>
                <w:rFonts w:ascii="Tahoma" w:eastAsia="Times New Roman" w:hAnsi="Tahoma" w:cs="Tahoma"/>
                <w:b/>
                <w:bCs/>
                <w:color w:val="9C3A9C"/>
                <w:sz w:val="17"/>
                <w:szCs w:val="17"/>
              </w:rPr>
              <w:t>:</w:t>
            </w:r>
            <w:r w:rsidRPr="008A4788">
              <w:rPr>
                <w:rFonts w:ascii="Tahoma" w:eastAsia="Times New Roman" w:hAnsi="Tahoma" w:cs="Tahoma"/>
                <w:b/>
                <w:bCs/>
                <w:color w:val="9C3A9C"/>
                <w:sz w:val="17"/>
              </w:rPr>
              <w:t> </w:t>
            </w:r>
            <w:proofErr w:type="spellStart"/>
            <w:r w:rsidRPr="008A4788">
              <w:rPr>
                <w:rFonts w:ascii="Tahoma" w:eastAsia="Times New Roman" w:hAnsi="Tahoma" w:cs="Tahoma"/>
                <w:color w:val="333333"/>
                <w:sz w:val="17"/>
                <w:szCs w:val="17"/>
              </w:rPr>
              <w:t>Poder</w:t>
            </w:r>
            <w:proofErr w:type="spellEnd"/>
            <w:r w:rsidRPr="008A4788">
              <w:rPr>
                <w:rFonts w:ascii="Tahoma" w:eastAsia="Times New Roman" w:hAnsi="Tahoma" w:cs="Tahoma"/>
                <w:color w:val="333333"/>
                <w:sz w:val="17"/>
                <w:szCs w:val="17"/>
              </w:rPr>
              <w:t xml:space="preserve"> Ejecutivo </w:t>
            </w:r>
            <w:proofErr w:type="spellStart"/>
            <w:r w:rsidRPr="008A4788">
              <w:rPr>
                <w:rFonts w:ascii="Tahoma" w:eastAsia="Times New Roman" w:hAnsi="Tahoma" w:cs="Tahoma"/>
                <w:color w:val="333333"/>
                <w:sz w:val="17"/>
                <w:szCs w:val="17"/>
              </w:rPr>
              <w:t>Nacional</w:t>
            </w:r>
            <w:proofErr w:type="spellEnd"/>
          </w:p>
        </w:tc>
      </w:tr>
    </w:tbl>
    <w:p w:rsidR="008A4788" w:rsidRPr="008A4788" w:rsidRDefault="008A4788" w:rsidP="008A4788">
      <w:pPr>
        <w:spacing w:after="0" w:line="240" w:lineRule="auto"/>
        <w:rPr>
          <w:rFonts w:ascii="Times New Roman" w:eastAsia="Times New Roman" w:hAnsi="Times New Roman" w:cs="Times New Roman"/>
          <w:vanish/>
          <w:sz w:val="24"/>
          <w:szCs w:val="24"/>
        </w:rPr>
      </w:pPr>
    </w:p>
    <w:tbl>
      <w:tblPr>
        <w:tblW w:w="5496" w:type="pct"/>
        <w:tblCellSpacing w:w="0" w:type="dxa"/>
        <w:tblInd w:w="-679" w:type="dxa"/>
        <w:shd w:val="clear" w:color="auto" w:fill="FAF4FC"/>
        <w:tblCellMar>
          <w:top w:w="30" w:type="dxa"/>
          <w:left w:w="30" w:type="dxa"/>
          <w:bottom w:w="30" w:type="dxa"/>
          <w:right w:w="30" w:type="dxa"/>
        </w:tblCellMar>
        <w:tblLook w:val="04A0"/>
      </w:tblPr>
      <w:tblGrid>
        <w:gridCol w:w="4448"/>
        <w:gridCol w:w="5333"/>
      </w:tblGrid>
      <w:tr w:rsidR="008A4788" w:rsidRPr="008A4788" w:rsidTr="008A4788">
        <w:trPr>
          <w:trHeight w:val="225"/>
          <w:tblCellSpacing w:w="0" w:type="dxa"/>
        </w:trPr>
        <w:tc>
          <w:tcPr>
            <w:tcW w:w="2274" w:type="pct"/>
            <w:shd w:val="clear" w:color="auto" w:fill="FAF4FC"/>
            <w:vAlign w:val="center"/>
            <w:hideMark/>
          </w:tcPr>
          <w:p w:rsidR="008A4788" w:rsidRPr="008A4788" w:rsidRDefault="008A4788" w:rsidP="008A4788">
            <w:pPr>
              <w:spacing w:after="0" w:line="240" w:lineRule="auto"/>
              <w:rPr>
                <w:rFonts w:ascii="Tahoma" w:eastAsia="Times New Roman" w:hAnsi="Tahoma" w:cs="Tahoma"/>
                <w:b/>
                <w:bCs/>
                <w:color w:val="9C3A9C"/>
                <w:sz w:val="17"/>
                <w:szCs w:val="17"/>
              </w:rPr>
            </w:pPr>
            <w:r w:rsidRPr="008A4788">
              <w:rPr>
                <w:rFonts w:ascii="Tahoma" w:eastAsia="Times New Roman" w:hAnsi="Tahoma" w:cs="Tahoma"/>
                <w:b/>
                <w:bCs/>
                <w:color w:val="9C3A9C"/>
                <w:sz w:val="17"/>
                <w:szCs w:val="17"/>
              </w:rPr>
              <w:t>Estado:</w:t>
            </w:r>
            <w:r w:rsidRPr="008A4788">
              <w:rPr>
                <w:rFonts w:ascii="Tahoma" w:eastAsia="Times New Roman" w:hAnsi="Tahoma" w:cs="Tahoma"/>
                <w:b/>
                <w:bCs/>
                <w:color w:val="9C3A9C"/>
                <w:sz w:val="17"/>
              </w:rPr>
              <w:t> </w:t>
            </w:r>
            <w:proofErr w:type="spellStart"/>
            <w:r w:rsidRPr="008A4788">
              <w:rPr>
                <w:rFonts w:ascii="Tahoma" w:eastAsia="Times New Roman" w:hAnsi="Tahoma" w:cs="Tahoma"/>
                <w:b/>
                <w:bCs/>
                <w:color w:val="336600"/>
                <w:sz w:val="17"/>
              </w:rPr>
              <w:t>Vigente</w:t>
            </w:r>
            <w:proofErr w:type="spellEnd"/>
          </w:p>
        </w:tc>
        <w:tc>
          <w:tcPr>
            <w:tcW w:w="2726" w:type="pct"/>
            <w:shd w:val="clear" w:color="auto" w:fill="FAF4FC"/>
            <w:vAlign w:val="center"/>
            <w:hideMark/>
          </w:tcPr>
          <w:p w:rsidR="008A4788" w:rsidRPr="008A4788" w:rsidRDefault="008A4788" w:rsidP="008A4788">
            <w:pPr>
              <w:spacing w:after="0" w:line="240" w:lineRule="auto"/>
              <w:jc w:val="right"/>
              <w:rPr>
                <w:rFonts w:ascii="Tahoma" w:eastAsia="Times New Roman" w:hAnsi="Tahoma" w:cs="Tahoma"/>
                <w:b/>
                <w:bCs/>
                <w:color w:val="9C3A9C"/>
                <w:sz w:val="17"/>
                <w:szCs w:val="17"/>
                <w:lang w:val="es-ES"/>
              </w:rPr>
            </w:pPr>
            <w:r w:rsidRPr="008A4788">
              <w:rPr>
                <w:rFonts w:ascii="Tahoma" w:eastAsia="Times New Roman" w:hAnsi="Tahoma" w:cs="Tahoma"/>
                <w:b/>
                <w:bCs/>
                <w:color w:val="9C3A9C"/>
                <w:sz w:val="17"/>
                <w:szCs w:val="17"/>
                <w:lang w:val="es-ES"/>
              </w:rPr>
              <w:t>Publicado en B.O.:</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Publicado en B.O.: 23/01/2013</w:t>
            </w:r>
          </w:p>
        </w:tc>
      </w:tr>
    </w:tbl>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81"/>
        <w:gridCol w:w="81"/>
      </w:tblGrid>
      <w:tr w:rsidR="008A4788" w:rsidRPr="008A4788" w:rsidTr="008A4788">
        <w:trPr>
          <w:tblCellSpacing w:w="15" w:type="dxa"/>
        </w:trPr>
        <w:tc>
          <w:tcPr>
            <w:tcW w:w="0" w:type="auto"/>
            <w:vAlign w:val="center"/>
            <w:hideMark/>
          </w:tcPr>
          <w:p w:rsidR="008A4788" w:rsidRPr="008A4788" w:rsidRDefault="008A4788" w:rsidP="008A4788">
            <w:pPr>
              <w:spacing w:after="0" w:line="240" w:lineRule="auto"/>
              <w:jc w:val="right"/>
              <w:rPr>
                <w:rFonts w:ascii="Times New Roman" w:eastAsia="Times New Roman" w:hAnsi="Times New Roman" w:cs="Times New Roman"/>
                <w:sz w:val="24"/>
                <w:szCs w:val="24"/>
              </w:rPr>
            </w:pPr>
          </w:p>
        </w:tc>
        <w:tc>
          <w:tcPr>
            <w:tcW w:w="0" w:type="auto"/>
            <w:vAlign w:val="center"/>
            <w:hideMark/>
          </w:tcPr>
          <w:p w:rsidR="008A4788" w:rsidRPr="008A4788" w:rsidRDefault="008A4788" w:rsidP="008A4788">
            <w:pPr>
              <w:spacing w:after="0" w:line="240" w:lineRule="auto"/>
              <w:rPr>
                <w:rFonts w:ascii="Times New Roman" w:eastAsia="Times New Roman" w:hAnsi="Times New Roman" w:cs="Times New Roman"/>
                <w:sz w:val="24"/>
                <w:szCs w:val="24"/>
              </w:rPr>
            </w:pPr>
          </w:p>
        </w:tc>
      </w:tr>
    </w:tbl>
    <w:tbl>
      <w:tblPr>
        <w:tblW w:w="0" w:type="auto"/>
        <w:tblCellSpacing w:w="15" w:type="dxa"/>
        <w:tblCellMar>
          <w:top w:w="15" w:type="dxa"/>
          <w:left w:w="15" w:type="dxa"/>
          <w:bottom w:w="15" w:type="dxa"/>
          <w:right w:w="15" w:type="dxa"/>
        </w:tblCellMar>
        <w:tblLook w:val="04A0"/>
      </w:tblPr>
      <w:tblGrid>
        <w:gridCol w:w="81"/>
        <w:gridCol w:w="66"/>
        <w:gridCol w:w="45"/>
      </w:tblGrid>
      <w:tr w:rsidR="008A4788" w:rsidRPr="008A4788" w:rsidTr="008A4788">
        <w:trPr>
          <w:gridAfter w:val="1"/>
          <w:tblCellSpacing w:w="15" w:type="dxa"/>
        </w:trPr>
        <w:tc>
          <w:tcPr>
            <w:tcW w:w="0" w:type="auto"/>
            <w:vAlign w:val="center"/>
            <w:hideMark/>
          </w:tcPr>
          <w:p w:rsidR="008A4788" w:rsidRPr="008A4788" w:rsidRDefault="008A4788" w:rsidP="008A4788">
            <w:pPr>
              <w:spacing w:after="0" w:line="240" w:lineRule="auto"/>
              <w:rPr>
                <w:rFonts w:ascii="Times New Roman" w:eastAsia="Times New Roman" w:hAnsi="Times New Roman" w:cs="Times New Roman"/>
                <w:sz w:val="24"/>
                <w:szCs w:val="24"/>
              </w:rPr>
            </w:pPr>
          </w:p>
        </w:tc>
        <w:tc>
          <w:tcPr>
            <w:tcW w:w="0" w:type="auto"/>
            <w:vAlign w:val="center"/>
            <w:hideMark/>
          </w:tcPr>
          <w:p w:rsidR="008A4788" w:rsidRPr="008A4788" w:rsidRDefault="008A4788" w:rsidP="008A4788">
            <w:pPr>
              <w:spacing w:after="0" w:line="240" w:lineRule="auto"/>
              <w:rPr>
                <w:rFonts w:ascii="Times New Roman" w:eastAsia="Times New Roman" w:hAnsi="Times New Roman" w:cs="Times New Roman"/>
                <w:sz w:val="24"/>
                <w:szCs w:val="24"/>
              </w:rPr>
            </w:pPr>
          </w:p>
        </w:tc>
      </w:tr>
      <w:tr w:rsidR="008A4788" w:rsidRPr="008A4788" w:rsidTr="008A4788">
        <w:tblPrEx>
          <w:jc w:val="center"/>
        </w:tblPrEx>
        <w:trPr>
          <w:tblCellSpacing w:w="15" w:type="dxa"/>
          <w:jc w:val="center"/>
        </w:trPr>
        <w:tc>
          <w:tcPr>
            <w:tcW w:w="0" w:type="auto"/>
            <w:gridSpan w:val="3"/>
            <w:vAlign w:val="center"/>
            <w:hideMark/>
          </w:tcPr>
          <w:p w:rsidR="008A4788" w:rsidRPr="008A4788" w:rsidRDefault="008A4788" w:rsidP="008A4788">
            <w:pPr>
              <w:spacing w:after="0" w:line="240" w:lineRule="auto"/>
              <w:jc w:val="both"/>
              <w:rPr>
                <w:rFonts w:ascii="Tahoma" w:eastAsia="Times New Roman" w:hAnsi="Tahoma" w:cs="Tahoma"/>
                <w:b/>
                <w:bCs/>
                <w:color w:val="575757"/>
                <w:sz w:val="17"/>
                <w:szCs w:val="17"/>
                <w:lang w:val="es-ES"/>
              </w:rPr>
            </w:pPr>
          </w:p>
        </w:tc>
      </w:tr>
    </w:tbl>
    <w:p w:rsidR="008A4788" w:rsidRPr="008A4788" w:rsidRDefault="008A4788" w:rsidP="008A4788">
      <w:pPr>
        <w:spacing w:after="0" w:line="240" w:lineRule="auto"/>
        <w:rPr>
          <w:rFonts w:ascii="Times New Roman" w:eastAsia="Times New Roman" w:hAnsi="Times New Roman" w:cs="Times New Roman"/>
          <w:sz w:val="24"/>
          <w:szCs w:val="24"/>
        </w:rPr>
      </w:pPr>
      <w:r w:rsidRPr="008A4788">
        <w:rPr>
          <w:rFonts w:ascii="Times New Roman" w:eastAsia="Times New Roman" w:hAnsi="Times New Roman" w:cs="Times New Roman"/>
          <w:sz w:val="24"/>
          <w:szCs w:val="24"/>
        </w:rPr>
        <w:pict>
          <v:rect id="_x0000_i1025" style="width:0;height:.75pt" o:hralign="center" o:hrstd="t" o:hr="t" fillcolor="#aca899" stroked="f"/>
        </w:pict>
      </w:r>
    </w:p>
    <w:tbl>
      <w:tblPr>
        <w:tblW w:w="5000" w:type="pct"/>
        <w:jc w:val="center"/>
        <w:tblCellSpacing w:w="15" w:type="dxa"/>
        <w:tblCellMar>
          <w:top w:w="15" w:type="dxa"/>
          <w:left w:w="15" w:type="dxa"/>
          <w:bottom w:w="15" w:type="dxa"/>
          <w:right w:w="15" w:type="dxa"/>
        </w:tblCellMar>
        <w:tblLook w:val="04A0"/>
      </w:tblPr>
      <w:tblGrid>
        <w:gridCol w:w="8928"/>
      </w:tblGrid>
      <w:tr w:rsidR="008A4788" w:rsidRPr="008A4788" w:rsidTr="008A4788">
        <w:trPr>
          <w:tblCellSpacing w:w="15" w:type="dxa"/>
          <w:jc w:val="center"/>
        </w:trPr>
        <w:tc>
          <w:tcPr>
            <w:tcW w:w="5000" w:type="pct"/>
            <w:vAlign w:val="center"/>
            <w:hideMark/>
          </w:tcPr>
          <w:p w:rsidR="008A4788" w:rsidRPr="008A4788" w:rsidRDefault="008A4788" w:rsidP="008A4788">
            <w:pPr>
              <w:spacing w:before="100" w:beforeAutospacing="1" w:after="100" w:afterAutospacing="1" w:line="240" w:lineRule="auto"/>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PODER EJECUTIVO NACIONAL</w:t>
            </w:r>
            <w:r w:rsidRPr="008A4788">
              <w:rPr>
                <w:rFonts w:ascii="Tahoma" w:eastAsia="Times New Roman" w:hAnsi="Tahoma" w:cs="Tahoma"/>
                <w:b/>
                <w:bCs/>
                <w:color w:val="333333"/>
                <w:sz w:val="17"/>
                <w:szCs w:val="17"/>
                <w:lang w:val="es-ES"/>
              </w:rPr>
              <w:br/>
            </w:r>
            <w:r w:rsidRPr="008A4788">
              <w:rPr>
                <w:rFonts w:ascii="Tahoma" w:eastAsia="Times New Roman" w:hAnsi="Tahoma" w:cs="Tahoma"/>
                <w:b/>
                <w:bCs/>
                <w:color w:val="333333"/>
                <w:sz w:val="17"/>
                <w:szCs w:val="17"/>
                <w:lang w:val="es-ES"/>
              </w:rPr>
              <w:br/>
            </w:r>
            <w:r w:rsidRPr="008A4788">
              <w:rPr>
                <w:rFonts w:ascii="Tahoma" w:eastAsia="Times New Roman" w:hAnsi="Tahoma" w:cs="Tahoma"/>
                <w:b/>
                <w:bCs/>
                <w:color w:val="333333"/>
                <w:sz w:val="17"/>
                <w:lang w:val="es-ES"/>
              </w:rPr>
              <w:t>Decreto N° 25/2013</w:t>
            </w:r>
          </w:p>
          <w:p w:rsidR="008A4788" w:rsidRPr="008A4788" w:rsidRDefault="008A4788" w:rsidP="008A4788">
            <w:pPr>
              <w:spacing w:before="100" w:beforeAutospacing="1" w:after="100" w:afterAutospacing="1" w:line="240" w:lineRule="auto"/>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Buenos Aires, 22 de Enero de 2013.</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VISTO el Expediente Nº S01:0337311/2012 del Registro del MINISTERIO DE ECONOMIA Y FINANZAS PUBLICAS, y</w:t>
            </w:r>
          </w:p>
          <w:p w:rsidR="008A4788" w:rsidRPr="008A4788" w:rsidRDefault="008A4788" w:rsidP="008A4788">
            <w:pPr>
              <w:spacing w:before="100" w:beforeAutospacing="1" w:after="100" w:afterAutospacing="1" w:line="240" w:lineRule="auto"/>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CONSIDERANDO:</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Que a través de la Decisión Nº 39 de fecha 20 de diciembre de 2011 del Consejo del Mercado Común, se autoriza a los Estados Parte del Mercado Común del Sur (MERCOSUR) a elevar, transitoriamente para CIEN (100) posiciones arancelarias, las alícuotas del impuesto de importación por encima del Arancel Externo Común (A.E.C.) para las importaciones originarias de extrazona, no pudiendo ser superiores al arancel máximo consolidado por cada Estado Parte ante la ORGANIZACION MUNDIAL DEL COMERCIO (O.M.C.).</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 xml:space="preserve">Que a los efectos de poder implementar lo dispuesto por la norma comunitaria mencionada, los Estados Parte </w:t>
            </w:r>
            <w:proofErr w:type="gramStart"/>
            <w:r w:rsidRPr="008A4788">
              <w:rPr>
                <w:rFonts w:ascii="Tahoma" w:eastAsia="Times New Roman" w:hAnsi="Tahoma" w:cs="Tahoma"/>
                <w:color w:val="333333"/>
                <w:sz w:val="17"/>
                <w:szCs w:val="17"/>
                <w:lang w:val="es-ES"/>
              </w:rPr>
              <w:t>deberán</w:t>
            </w:r>
            <w:proofErr w:type="gramEnd"/>
            <w:r w:rsidRPr="008A4788">
              <w:rPr>
                <w:rFonts w:ascii="Tahoma" w:eastAsia="Times New Roman" w:hAnsi="Tahoma" w:cs="Tahoma"/>
                <w:color w:val="333333"/>
                <w:sz w:val="17"/>
                <w:szCs w:val="17"/>
                <w:lang w:val="es-ES"/>
              </w:rPr>
              <w:t xml:space="preserve"> cumplir el procedimiento establecido y asirse a las limitaciones de los Artículos 3 a 9 de la decisión citada.</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Que de acuerdo a lo dispuesto por el Artículo 12 de la</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Decisión Nº 39/11 del Consejo del Mercado Común, la misma fue protocolizada ante la ASOCIACION LATINOAMERICANA DE INTEGRACION (ALADI), e incorporada al Acuerdo de Complementación Económica Nº 18, como Nonagésimo Segundo Protocolo Adicional.</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Que, en cumplimiento del procedimiento establecido por el Artículo 2° del Decreto Nº 415 de fecha 18 de marzo de 1991, la SECRETARIA DE COMERCIO EXTERIOR del MINISTERIO DE ECONOMIA Y FINANZAS PUBLICAS, a través de la Nota Nº 543 de fecha 15 de marzo de 2012, remitió a la Dirección General de Aduanas dependiente de la ADMINISTRACION FEDERAL DE INGRESOS PUBLICOS, entidad autárquica en el ámbito del citado Ministerio, copia del Protocolo Adicional citado, debidamente certificada por la Secretaría General de la ASOCIACION LATINOAMERICANA DE INTEGRACION (ALADI) y por la Representación Argentina ante dicha Asociación.</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 xml:space="preserve">Que la SECRETARIA DEL MERCOSUR, por medio de la Nota Nº SM/625/12 de fecha 7 de agosto de 2012, informó que con la incorporación de la decisión mencionada precedentemente al ordenamiento jurídico interno de la REPUBLICA ORIENTAL DEL URUGUAY, se había completado el procedimiento previsto en el Artículo 40 del Protocolo de </w:t>
            </w:r>
            <w:proofErr w:type="spellStart"/>
            <w:r w:rsidRPr="008A4788">
              <w:rPr>
                <w:rFonts w:ascii="Tahoma" w:eastAsia="Times New Roman" w:hAnsi="Tahoma" w:cs="Tahoma"/>
                <w:color w:val="333333"/>
                <w:sz w:val="17"/>
                <w:szCs w:val="17"/>
                <w:lang w:val="es-ES"/>
              </w:rPr>
              <w:t>Ouro</w:t>
            </w:r>
            <w:proofErr w:type="spellEnd"/>
            <w:r w:rsidRPr="008A4788">
              <w:rPr>
                <w:rFonts w:ascii="Tahoma" w:eastAsia="Times New Roman" w:hAnsi="Tahoma" w:cs="Tahoma"/>
                <w:color w:val="333333"/>
                <w:sz w:val="17"/>
                <w:szCs w:val="17"/>
                <w:lang w:val="es-ES"/>
              </w:rPr>
              <w:t xml:space="preserve"> </w:t>
            </w:r>
            <w:proofErr w:type="spellStart"/>
            <w:r w:rsidRPr="008A4788">
              <w:rPr>
                <w:rFonts w:ascii="Tahoma" w:eastAsia="Times New Roman" w:hAnsi="Tahoma" w:cs="Tahoma"/>
                <w:color w:val="333333"/>
                <w:sz w:val="17"/>
                <w:szCs w:val="17"/>
                <w:lang w:val="es-ES"/>
              </w:rPr>
              <w:t>Preto</w:t>
            </w:r>
            <w:proofErr w:type="spellEnd"/>
            <w:r w:rsidRPr="008A4788">
              <w:rPr>
                <w:rFonts w:ascii="Tahoma" w:eastAsia="Times New Roman" w:hAnsi="Tahoma" w:cs="Tahoma"/>
                <w:color w:val="333333"/>
                <w:sz w:val="17"/>
                <w:szCs w:val="17"/>
                <w:lang w:val="es-ES"/>
              </w:rPr>
              <w:t xml:space="preserve"> para la entrada en vigor de las normas emanadas de los órganos decisorios del Mercado Común del Sur (MERCOSUR). Que, en función de lo expresado, habiendo transcurrido el plazo de TREINTA (30) días contados a partir de la fecha de la notificación comentada, se encuentra en plena vigencia en la REPUBLICA ARGENTINA la Decisión Nº 39/11 del Consejo del Mercado Común.</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Que los MINISTERIOS DE ECONOMIA Y FINANZAS PUBLICAS y DE INDUSTRIA, a través de sus áreas competentes, definieron el listado de posiciones arancelarias de la Nomenclatura Común del MERCOSUR (N.C.M.) y el plazo a regir de cada tratamiento transitorio en la REPUBLICA ARGENTINA, en cumplimiento de lo reglado por los Artículos 3 y 4 de la norma comunitaria citada en el primer considerando. Que la Dirección General de Asuntos Jurídicos del MINISTERIO DE ECONOMIA Y FINANZAS PUBLICAS ha tomado la intervención que le compete.</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Que el presente decreto se dicta en ejercicio de las facultades conferidas al PODER EJECUTIVO NACIONAL por los incisos 1 y 2 del Artículo 99 de la CONSTITUCION NACIONAL, los Artículos 11, apartado 2 y 12 de la Ley Nº 22.415 (Código Aduanero) y sus modificaciones y por la Ley Nº 25.561 de Emergencia Pública y Reforma del Régimen Cambiario, prorrogada por su similar Nº 26.729.</w:t>
            </w:r>
          </w:p>
          <w:p w:rsidR="008A4788" w:rsidRPr="008A4788" w:rsidRDefault="008A4788" w:rsidP="008A4788">
            <w:pPr>
              <w:spacing w:before="100" w:beforeAutospacing="1" w:after="100" w:afterAutospacing="1" w:line="240" w:lineRule="auto"/>
              <w:rPr>
                <w:rFonts w:ascii="Tahoma" w:eastAsia="Times New Roman" w:hAnsi="Tahoma" w:cs="Tahoma"/>
                <w:color w:val="333333"/>
                <w:sz w:val="17"/>
                <w:szCs w:val="17"/>
                <w:lang w:val="es-ES"/>
              </w:rPr>
            </w:pPr>
            <w:r w:rsidRPr="008A4788">
              <w:rPr>
                <w:rFonts w:ascii="Tahoma" w:eastAsia="Times New Roman" w:hAnsi="Tahoma" w:cs="Tahoma"/>
                <w:color w:val="333333"/>
                <w:sz w:val="17"/>
                <w:szCs w:val="17"/>
                <w:lang w:val="es-ES"/>
              </w:rPr>
              <w:t>Por ello,</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br/>
              <w:t>EL VICEPRESIDENTE DE LA NACION ARGENTINA EN EJERCICIO DEL PODER EJECUTIVO</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br/>
              <w:t>DECRETA:</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Artículo 1° —</w:t>
            </w:r>
            <w:r w:rsidRPr="008A4788">
              <w:rPr>
                <w:rFonts w:ascii="Tahoma" w:eastAsia="Times New Roman" w:hAnsi="Tahoma" w:cs="Tahoma"/>
                <w:color w:val="333333"/>
                <w:sz w:val="17"/>
                <w:lang w:val="es-ES"/>
              </w:rPr>
              <w:t> </w:t>
            </w:r>
            <w:proofErr w:type="spellStart"/>
            <w:r w:rsidRPr="008A4788">
              <w:rPr>
                <w:rFonts w:ascii="Tahoma" w:eastAsia="Times New Roman" w:hAnsi="Tahoma" w:cs="Tahoma"/>
                <w:color w:val="333333"/>
                <w:sz w:val="17"/>
                <w:szCs w:val="17"/>
                <w:lang w:val="es-ES"/>
              </w:rPr>
              <w:t>Modifícanse</w:t>
            </w:r>
            <w:proofErr w:type="spellEnd"/>
            <w:r w:rsidRPr="008A4788">
              <w:rPr>
                <w:rFonts w:ascii="Tahoma" w:eastAsia="Times New Roman" w:hAnsi="Tahoma" w:cs="Tahoma"/>
                <w:color w:val="333333"/>
                <w:sz w:val="17"/>
                <w:szCs w:val="17"/>
                <w:lang w:val="es-ES"/>
              </w:rPr>
              <w:t xml:space="preserve"> en el Anexo I del</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Decreto Nº 509 de fecha 15 de mayo de 2007</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 xml:space="preserve">y sus modificaciones, las alícuotas correspondientes al Derecho de Importación Extrazona (D.I.E.) que en cada caso se indica para las posiciones arancelarias de la Nomenclatura Común del MERCOSUR (N.C.M.) que se detallan en la planilla que, como </w:t>
            </w:r>
            <w:r w:rsidRPr="008A4788">
              <w:rPr>
                <w:rFonts w:ascii="Tahoma" w:eastAsia="Times New Roman" w:hAnsi="Tahoma" w:cs="Tahoma"/>
                <w:color w:val="333333"/>
                <w:sz w:val="17"/>
                <w:szCs w:val="17"/>
                <w:lang w:val="es-ES"/>
              </w:rPr>
              <w:lastRenderedPageBreak/>
              <w:t>Anexo, forma parte integrante de la presente medida.</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Art. 2° —</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Remítase copia autenticada del presente decreto al MINISTERIO DE RELACIONES EXTERIORES Y CULTO atento a su carácter de Coordinador de la Sección Nacional del Grupo Mercado Común.</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Art. 3° —</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El presente decreto comenzará a regir a partir del día siguiente al de su publicación en el Boletín Oficial.</w:t>
            </w:r>
          </w:p>
          <w:p w:rsidR="008A4788" w:rsidRPr="008A4788" w:rsidRDefault="008A4788" w:rsidP="008A4788">
            <w:pPr>
              <w:spacing w:before="100" w:beforeAutospacing="1" w:after="100" w:afterAutospacing="1" w:line="240" w:lineRule="auto"/>
              <w:jc w:val="both"/>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Art. 4° —</w:t>
            </w:r>
            <w:r w:rsidRPr="008A4788">
              <w:rPr>
                <w:rFonts w:ascii="Tahoma" w:eastAsia="Times New Roman" w:hAnsi="Tahoma" w:cs="Tahoma"/>
                <w:color w:val="333333"/>
                <w:sz w:val="17"/>
                <w:lang w:val="es-ES"/>
              </w:rPr>
              <w:t> </w:t>
            </w:r>
            <w:r w:rsidRPr="008A4788">
              <w:rPr>
                <w:rFonts w:ascii="Tahoma" w:eastAsia="Times New Roman" w:hAnsi="Tahoma" w:cs="Tahoma"/>
                <w:color w:val="333333"/>
                <w:sz w:val="17"/>
                <w:szCs w:val="17"/>
                <w:lang w:val="es-ES"/>
              </w:rPr>
              <w:t xml:space="preserve">Comuníquese, publíquese, </w:t>
            </w:r>
            <w:proofErr w:type="spellStart"/>
            <w:r w:rsidRPr="008A4788">
              <w:rPr>
                <w:rFonts w:ascii="Tahoma" w:eastAsia="Times New Roman" w:hAnsi="Tahoma" w:cs="Tahoma"/>
                <w:color w:val="333333"/>
                <w:sz w:val="17"/>
                <w:szCs w:val="17"/>
                <w:lang w:val="es-ES"/>
              </w:rPr>
              <w:t>dése</w:t>
            </w:r>
            <w:proofErr w:type="spellEnd"/>
            <w:r w:rsidRPr="008A4788">
              <w:rPr>
                <w:rFonts w:ascii="Tahoma" w:eastAsia="Times New Roman" w:hAnsi="Tahoma" w:cs="Tahoma"/>
                <w:color w:val="333333"/>
                <w:sz w:val="17"/>
                <w:szCs w:val="17"/>
                <w:lang w:val="es-ES"/>
              </w:rPr>
              <w:t xml:space="preserve"> a la Dirección Nacional del Registro Oficial y archívese. — AMADO BOUDOU. — Juan M. </w:t>
            </w:r>
            <w:proofErr w:type="spellStart"/>
            <w:r w:rsidRPr="008A4788">
              <w:rPr>
                <w:rFonts w:ascii="Tahoma" w:eastAsia="Times New Roman" w:hAnsi="Tahoma" w:cs="Tahoma"/>
                <w:color w:val="333333"/>
                <w:sz w:val="17"/>
                <w:szCs w:val="17"/>
                <w:lang w:val="es-ES"/>
              </w:rPr>
              <w:t>Abal</w:t>
            </w:r>
            <w:proofErr w:type="spellEnd"/>
            <w:r w:rsidRPr="008A4788">
              <w:rPr>
                <w:rFonts w:ascii="Tahoma" w:eastAsia="Times New Roman" w:hAnsi="Tahoma" w:cs="Tahoma"/>
                <w:color w:val="333333"/>
                <w:sz w:val="17"/>
                <w:szCs w:val="17"/>
                <w:lang w:val="es-ES"/>
              </w:rPr>
              <w:t xml:space="preserve"> Medina. — Hernán G. </w:t>
            </w:r>
            <w:proofErr w:type="spellStart"/>
            <w:r w:rsidRPr="008A4788">
              <w:rPr>
                <w:rFonts w:ascii="Tahoma" w:eastAsia="Times New Roman" w:hAnsi="Tahoma" w:cs="Tahoma"/>
                <w:color w:val="333333"/>
                <w:sz w:val="17"/>
                <w:szCs w:val="17"/>
                <w:lang w:val="es-ES"/>
              </w:rPr>
              <w:t>Lorenzino</w:t>
            </w:r>
            <w:proofErr w:type="spellEnd"/>
            <w:r w:rsidRPr="008A4788">
              <w:rPr>
                <w:rFonts w:ascii="Tahoma" w:eastAsia="Times New Roman" w:hAnsi="Tahoma" w:cs="Tahoma"/>
                <w:color w:val="333333"/>
                <w:sz w:val="17"/>
                <w:szCs w:val="17"/>
                <w:lang w:val="es-ES"/>
              </w:rPr>
              <w:t xml:space="preserve">. — Débora A. </w:t>
            </w:r>
            <w:proofErr w:type="spellStart"/>
            <w:r w:rsidRPr="008A4788">
              <w:rPr>
                <w:rFonts w:ascii="Tahoma" w:eastAsia="Times New Roman" w:hAnsi="Tahoma" w:cs="Tahoma"/>
                <w:color w:val="333333"/>
                <w:sz w:val="17"/>
                <w:szCs w:val="17"/>
                <w:lang w:val="es-ES"/>
              </w:rPr>
              <w:t>Giorgi</w:t>
            </w:r>
            <w:proofErr w:type="spellEnd"/>
            <w:r w:rsidRPr="008A4788">
              <w:rPr>
                <w:rFonts w:ascii="Tahoma" w:eastAsia="Times New Roman" w:hAnsi="Tahoma" w:cs="Tahoma"/>
                <w:color w:val="333333"/>
                <w:sz w:val="17"/>
                <w:szCs w:val="17"/>
                <w:lang w:val="es-ES"/>
              </w:rPr>
              <w:t>.</w:t>
            </w:r>
          </w:p>
          <w:p w:rsidR="008A4788" w:rsidRPr="008A4788" w:rsidRDefault="008A4788" w:rsidP="008A4788">
            <w:pPr>
              <w:spacing w:before="100" w:beforeAutospacing="1" w:after="100" w:afterAutospacing="1" w:line="240" w:lineRule="auto"/>
              <w:jc w:val="center"/>
              <w:rPr>
                <w:rFonts w:ascii="Tahoma" w:eastAsia="Times New Roman" w:hAnsi="Tahoma" w:cs="Tahoma"/>
                <w:color w:val="333333"/>
                <w:sz w:val="17"/>
                <w:szCs w:val="17"/>
                <w:lang w:val="es-ES"/>
              </w:rPr>
            </w:pPr>
            <w:r w:rsidRPr="008A4788">
              <w:rPr>
                <w:rFonts w:ascii="Tahoma" w:eastAsia="Times New Roman" w:hAnsi="Tahoma" w:cs="Tahoma"/>
                <w:b/>
                <w:bCs/>
                <w:color w:val="333333"/>
                <w:sz w:val="17"/>
                <w:lang w:val="es-ES"/>
              </w:rPr>
              <w:t>ANEXO</w:t>
            </w:r>
          </w:p>
          <w:tbl>
            <w:tblPr>
              <w:tblW w:w="2500" w:type="pct"/>
              <w:jc w:val="center"/>
              <w:tblCellSpacing w:w="15" w:type="dxa"/>
              <w:tblBorders>
                <w:top w:val="single" w:sz="6" w:space="0" w:color="9C3A9C"/>
                <w:left w:val="single" w:sz="6" w:space="0" w:color="9C3A9C"/>
                <w:bottom w:val="single" w:sz="6" w:space="0" w:color="9C3A9C"/>
                <w:right w:val="single" w:sz="6" w:space="0" w:color="9C3A9C"/>
              </w:tblBorders>
              <w:tblCellMar>
                <w:top w:w="15" w:type="dxa"/>
                <w:left w:w="15" w:type="dxa"/>
                <w:bottom w:w="15" w:type="dxa"/>
                <w:right w:w="15" w:type="dxa"/>
              </w:tblCellMar>
              <w:tblLook w:val="04A0"/>
            </w:tblPr>
            <w:tblGrid>
              <w:gridCol w:w="937"/>
              <w:gridCol w:w="544"/>
              <w:gridCol w:w="906"/>
              <w:gridCol w:w="544"/>
              <w:gridCol w:w="906"/>
              <w:gridCol w:w="574"/>
            </w:tblGrid>
            <w:tr w:rsidR="008A4788" w:rsidRPr="008A4788">
              <w:trPr>
                <w:tblCellSpacing w:w="15" w:type="dxa"/>
                <w:jc w:val="center"/>
              </w:trPr>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N.C.M.</w:t>
                  </w:r>
                </w:p>
              </w:tc>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D.I.E. %</w:t>
                  </w:r>
                </w:p>
              </w:tc>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N.C.M.</w:t>
                  </w:r>
                </w:p>
              </w:tc>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D.I.E. %</w:t>
                  </w:r>
                </w:p>
              </w:tc>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N.C.M.</w:t>
                  </w:r>
                </w:p>
              </w:tc>
              <w:tc>
                <w:tcPr>
                  <w:tcW w:w="0" w:type="auto"/>
                  <w:shd w:val="clear" w:color="auto" w:fill="9C3A9C"/>
                  <w:vAlign w:val="center"/>
                  <w:hideMark/>
                </w:tcPr>
                <w:p w:rsidR="008A4788" w:rsidRPr="008A4788" w:rsidRDefault="008A4788" w:rsidP="008A4788">
                  <w:pPr>
                    <w:spacing w:after="0" w:line="240" w:lineRule="auto"/>
                    <w:jc w:val="center"/>
                    <w:rPr>
                      <w:rFonts w:ascii="Tahoma" w:eastAsia="Times New Roman" w:hAnsi="Tahoma" w:cs="Tahoma"/>
                      <w:b/>
                      <w:bCs/>
                      <w:color w:val="FFFFFF"/>
                      <w:sz w:val="17"/>
                      <w:szCs w:val="17"/>
                      <w:lang w:val="es-ES"/>
                    </w:rPr>
                  </w:pPr>
                  <w:r w:rsidRPr="008A4788">
                    <w:rPr>
                      <w:rFonts w:ascii="Tahoma" w:eastAsia="Times New Roman" w:hAnsi="Tahoma" w:cs="Tahoma"/>
                      <w:b/>
                      <w:bCs/>
                      <w:color w:val="FFFFFF"/>
                      <w:sz w:val="17"/>
                      <w:szCs w:val="17"/>
                      <w:lang w:val="es-ES"/>
                    </w:rPr>
                    <w:t>D.I.E. %</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0810.50.00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8302.41.00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8517.18.91</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0901.21.00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8302.50.00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8517.18.99</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1209.29.00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8413.70.90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8523.49.90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1516.20.00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8414.51.90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8539.21.10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1517.90.90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8414.59.90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8539.31.00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1604.14.10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8417.20.00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8539.32.00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1604.20.10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8418.50.90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8544.49.00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2002.90.90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8419.39.00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8711.30.00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2003.10.00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8419.40.90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8711.40.00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2008.20.10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8419.81.90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8711.50.00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2106.90.10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22,0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8421.39.90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9004.10.00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2202.90.00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8425.11.00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9207.10.90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2208.30.20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8430.49.20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9207.90.10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2309.90.90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20,0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8430.69.90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9401.30.90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2401.10.90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8432.30.90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9401.71.00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2933.69.13</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8433.11.00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9401.79.00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3304.99.90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25,0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8433.20.90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9403.20.00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3808.93.22</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8443.31.11</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9405.10.99</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3808.94.29</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20,0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8443.31.13</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9405.40.10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4011.10.00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8450.20.90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9405.40.90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4011.20.90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8462.21.00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9406.00.92</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4011.40.00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8462.29.00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9506.62.00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4011.62.00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8467.29.92</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9506.70.00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4011.63.10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8471.30.12</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9506.99.00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4411.92.90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8471.30.19</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9603.21.00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4421.90.00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8471.41.10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9608.10.00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4504.90.00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8471.41.90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9608.20.00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6406.10.00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28,0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8471.49.00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9613.10.00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6802.93.90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8480.71.00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6902.20.10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8510.20.00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7117.90.00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8516.29.00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7310.21.10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8516.32.00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7311.00.00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8516.60.00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7323.93.00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8516.71.00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8204.11.00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r w:rsidRPr="008A4788">
                    <w:rPr>
                      <w:rFonts w:ascii="Tahoma" w:eastAsia="Times New Roman" w:hAnsi="Tahoma" w:cs="Tahoma"/>
                      <w:sz w:val="17"/>
                      <w:szCs w:val="17"/>
                      <w:lang w:val="es-ES"/>
                    </w:rPr>
                    <w:t>8516.79.90</w:t>
                  </w:r>
                </w:p>
              </w:tc>
              <w:tc>
                <w:tcPr>
                  <w:tcW w:w="0" w:type="auto"/>
                  <w:shd w:val="clear" w:color="auto" w:fill="F2E8F6"/>
                  <w:vAlign w:val="center"/>
                  <w:hideMark/>
                </w:tcPr>
                <w:p w:rsidR="008A4788" w:rsidRPr="008A4788" w:rsidRDefault="008A4788" w:rsidP="008A4788">
                  <w:pPr>
                    <w:spacing w:after="0" w:line="240" w:lineRule="auto"/>
                    <w:jc w:val="center"/>
                    <w:rPr>
                      <w:rFonts w:ascii="Tahoma" w:eastAsia="Times New Roman" w:hAnsi="Tahoma" w:cs="Tahoma"/>
                      <w:sz w:val="17"/>
                      <w:szCs w:val="17"/>
                      <w:lang w:val="es-ES"/>
                    </w:rPr>
                  </w:pPr>
                  <w:r w:rsidRPr="008A4788">
                    <w:rPr>
                      <w:rFonts w:ascii="Tahoma" w:eastAsia="Times New Roman" w:hAnsi="Tahoma" w:cs="Tahoma"/>
                      <w:sz w:val="17"/>
                      <w:szCs w:val="17"/>
                      <w:lang w:val="es-ES"/>
                    </w:rPr>
                    <w:t>35,0</w:t>
                  </w: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c>
                <w:tcPr>
                  <w:tcW w:w="0" w:type="auto"/>
                  <w:shd w:val="clear" w:color="auto" w:fill="F2E8F6"/>
                  <w:vAlign w:val="center"/>
                  <w:hideMark/>
                </w:tcPr>
                <w:p w:rsidR="008A4788" w:rsidRPr="008A4788" w:rsidRDefault="008A4788" w:rsidP="008A4788">
                  <w:pPr>
                    <w:spacing w:after="0" w:line="240" w:lineRule="auto"/>
                    <w:rPr>
                      <w:rFonts w:ascii="Tahoma" w:eastAsia="Times New Roman" w:hAnsi="Tahoma" w:cs="Tahoma"/>
                      <w:sz w:val="17"/>
                      <w:szCs w:val="17"/>
                      <w:lang w:val="es-ES"/>
                    </w:rPr>
                  </w:pPr>
                </w:p>
              </w:tc>
            </w:tr>
            <w:tr w:rsidR="008A4788" w:rsidRPr="008A4788">
              <w:trPr>
                <w:tblCellSpacing w:w="15" w:type="dxa"/>
                <w:jc w:val="center"/>
              </w:trPr>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color w:val="000000"/>
                      <w:sz w:val="17"/>
                      <w:szCs w:val="17"/>
                      <w:lang w:val="es-ES"/>
                    </w:rPr>
                  </w:pPr>
                  <w:r w:rsidRPr="008A4788">
                    <w:rPr>
                      <w:rFonts w:ascii="Tahoma" w:eastAsia="Times New Roman" w:hAnsi="Tahoma" w:cs="Tahoma"/>
                      <w:color w:val="000000"/>
                      <w:sz w:val="17"/>
                      <w:szCs w:val="17"/>
                      <w:lang w:val="es-ES"/>
                    </w:rPr>
                    <w:t>8207.30.00</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color w:val="000000"/>
                      <w:sz w:val="17"/>
                      <w:szCs w:val="17"/>
                      <w:lang w:val="es-ES"/>
                    </w:rPr>
                  </w:pPr>
                  <w:r w:rsidRPr="008A4788">
                    <w:rPr>
                      <w:rFonts w:ascii="Tahoma" w:eastAsia="Times New Roman" w:hAnsi="Tahoma" w:cs="Tahoma"/>
                      <w:color w:val="000000"/>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color w:val="000000"/>
                      <w:sz w:val="17"/>
                      <w:szCs w:val="17"/>
                      <w:lang w:val="es-ES"/>
                    </w:rPr>
                  </w:pPr>
                  <w:r w:rsidRPr="008A4788">
                    <w:rPr>
                      <w:rFonts w:ascii="Tahoma" w:eastAsia="Times New Roman" w:hAnsi="Tahoma" w:cs="Tahoma"/>
                      <w:color w:val="000000"/>
                      <w:sz w:val="17"/>
                      <w:szCs w:val="17"/>
                      <w:lang w:val="es-ES"/>
                    </w:rPr>
                    <w:t>8517.12.11</w:t>
                  </w:r>
                </w:p>
              </w:tc>
              <w:tc>
                <w:tcPr>
                  <w:tcW w:w="0" w:type="auto"/>
                  <w:shd w:val="clear" w:color="auto" w:fill="FFFFFF"/>
                  <w:vAlign w:val="center"/>
                  <w:hideMark/>
                </w:tcPr>
                <w:p w:rsidR="008A4788" w:rsidRPr="008A4788" w:rsidRDefault="008A4788" w:rsidP="008A4788">
                  <w:pPr>
                    <w:spacing w:after="0" w:line="240" w:lineRule="auto"/>
                    <w:jc w:val="center"/>
                    <w:rPr>
                      <w:rFonts w:ascii="Tahoma" w:eastAsia="Times New Roman" w:hAnsi="Tahoma" w:cs="Tahoma"/>
                      <w:color w:val="000000"/>
                      <w:sz w:val="17"/>
                      <w:szCs w:val="17"/>
                      <w:lang w:val="es-ES"/>
                    </w:rPr>
                  </w:pPr>
                  <w:r w:rsidRPr="008A4788">
                    <w:rPr>
                      <w:rFonts w:ascii="Tahoma" w:eastAsia="Times New Roman" w:hAnsi="Tahoma" w:cs="Tahoma"/>
                      <w:color w:val="000000"/>
                      <w:sz w:val="17"/>
                      <w:szCs w:val="17"/>
                      <w:lang w:val="es-ES"/>
                    </w:rPr>
                    <w:t>35,0</w:t>
                  </w:r>
                </w:p>
              </w:tc>
              <w:tc>
                <w:tcPr>
                  <w:tcW w:w="0" w:type="auto"/>
                  <w:shd w:val="clear" w:color="auto" w:fill="FFFFFF"/>
                  <w:vAlign w:val="center"/>
                  <w:hideMark/>
                </w:tcPr>
                <w:p w:rsidR="008A4788" w:rsidRPr="008A4788" w:rsidRDefault="008A4788" w:rsidP="008A4788">
                  <w:pPr>
                    <w:spacing w:after="0" w:line="240" w:lineRule="auto"/>
                    <w:rPr>
                      <w:rFonts w:ascii="Tahoma" w:eastAsia="Times New Roman" w:hAnsi="Tahoma" w:cs="Tahoma"/>
                      <w:color w:val="000000"/>
                      <w:sz w:val="17"/>
                      <w:szCs w:val="17"/>
                      <w:lang w:val="es-ES"/>
                    </w:rPr>
                  </w:pPr>
                </w:p>
              </w:tc>
              <w:tc>
                <w:tcPr>
                  <w:tcW w:w="0" w:type="auto"/>
                  <w:shd w:val="clear" w:color="auto" w:fill="FFFFFF"/>
                  <w:vAlign w:val="center"/>
                  <w:hideMark/>
                </w:tcPr>
                <w:p w:rsidR="008A4788" w:rsidRPr="008A4788" w:rsidRDefault="008A4788" w:rsidP="008A4788">
                  <w:pPr>
                    <w:spacing w:after="0" w:line="240" w:lineRule="auto"/>
                    <w:rPr>
                      <w:rFonts w:ascii="Times New Roman" w:eastAsia="Times New Roman" w:hAnsi="Times New Roman" w:cs="Times New Roman"/>
                      <w:sz w:val="20"/>
                      <w:szCs w:val="20"/>
                      <w:lang w:val="es-ES"/>
                    </w:rPr>
                  </w:pPr>
                </w:p>
              </w:tc>
            </w:tr>
          </w:tbl>
          <w:p w:rsidR="008A4788" w:rsidRPr="008A4788" w:rsidRDefault="008A4788" w:rsidP="008A4788">
            <w:pPr>
              <w:spacing w:after="0" w:line="240" w:lineRule="auto"/>
              <w:rPr>
                <w:rFonts w:ascii="Tahoma" w:eastAsia="Times New Roman" w:hAnsi="Tahoma" w:cs="Tahoma"/>
                <w:color w:val="333333"/>
                <w:sz w:val="17"/>
                <w:szCs w:val="17"/>
                <w:lang w:val="es-ES"/>
              </w:rPr>
            </w:pPr>
          </w:p>
        </w:tc>
      </w:tr>
    </w:tbl>
    <w:p w:rsidR="00F95D88" w:rsidRPr="008A4788" w:rsidRDefault="00F95D88">
      <w:pPr>
        <w:rPr>
          <w:lang w:val="es-ES"/>
        </w:rPr>
      </w:pPr>
    </w:p>
    <w:sectPr w:rsidR="00F95D88" w:rsidRPr="008A4788" w:rsidSect="008A4788">
      <w:pgSz w:w="12240" w:h="15840"/>
      <w:pgMar w:top="709"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788"/>
    <w:rsid w:val="008A4788"/>
    <w:rsid w:val="00F95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A4788"/>
  </w:style>
  <w:style w:type="character" w:styleId="Textoennegrita">
    <w:name w:val="Strong"/>
    <w:basedOn w:val="Fuentedeprrafopredeter"/>
    <w:uiPriority w:val="22"/>
    <w:qFormat/>
    <w:rsid w:val="008A4788"/>
    <w:rPr>
      <w:b/>
      <w:bCs/>
    </w:rPr>
  </w:style>
  <w:style w:type="character" w:styleId="Hipervnculo">
    <w:name w:val="Hyperlink"/>
    <w:basedOn w:val="Fuentedeprrafopredeter"/>
    <w:uiPriority w:val="99"/>
    <w:semiHidden/>
    <w:unhideWhenUsed/>
    <w:rsid w:val="008A4788"/>
    <w:rPr>
      <w:color w:val="0000FF"/>
      <w:u w:val="single"/>
    </w:rPr>
  </w:style>
  <w:style w:type="character" w:customStyle="1" w:styleId="titu">
    <w:name w:val="titu"/>
    <w:basedOn w:val="Fuentedeprrafopredeter"/>
    <w:rsid w:val="008A4788"/>
  </w:style>
  <w:style w:type="paragraph" w:styleId="NormalWeb">
    <w:name w:val="Normal (Web)"/>
    <w:basedOn w:val="Normal"/>
    <w:uiPriority w:val="99"/>
    <w:semiHidden/>
    <w:unhideWhenUsed/>
    <w:rsid w:val="008A478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A47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3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5334</Characters>
  <Application>Microsoft Office Word</Application>
  <DocSecurity>0</DocSecurity>
  <Lines>44</Lines>
  <Paragraphs>12</Paragraphs>
  <ScaleCrop>false</ScaleCrop>
  <Company>ADIMRA</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2013-01-23T18:29:00Z</dcterms:created>
  <dcterms:modified xsi:type="dcterms:W3CDTF">2013-01-23T18:34:00Z</dcterms:modified>
</cp:coreProperties>
</file>