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2C" w:rsidRDefault="00634A2C" w:rsidP="00634A2C">
      <w:pPr>
        <w:spacing w:after="240"/>
        <w:ind w:firstLine="0"/>
        <w:rPr>
          <w:rFonts w:ascii="Verdana" w:eastAsia="Times New Roman" w:hAnsi="Verdana" w:cs="Times New Roman"/>
          <w:b/>
          <w:bCs/>
          <w:sz w:val="18"/>
          <w:szCs w:val="18"/>
          <w:lang w:val="es-ES" w:eastAsia="es-ES"/>
        </w:rPr>
      </w:pPr>
      <w:r w:rsidRPr="00634A2C">
        <w:rPr>
          <w:rFonts w:ascii="Verdana" w:eastAsia="Times New Roman" w:hAnsi="Verdana" w:cs="Times New Roman"/>
          <w:b/>
          <w:bCs/>
          <w:sz w:val="18"/>
          <w:szCs w:val="18"/>
          <w:lang w:val="es-ES" w:eastAsia="es-ES"/>
        </w:rPr>
        <w:t>Decreto 927/2013</w:t>
      </w:r>
    </w:p>
    <w:p w:rsidR="00634A2C" w:rsidRDefault="00634A2C" w:rsidP="00634A2C">
      <w:pPr>
        <w:spacing w:after="240"/>
        <w:ind w:firstLine="0"/>
        <w:rPr>
          <w:rFonts w:ascii="Verdana" w:eastAsia="Times New Roman" w:hAnsi="Verdana" w:cs="Times New Roman"/>
          <w:b/>
          <w:bCs/>
          <w:sz w:val="18"/>
          <w:szCs w:val="18"/>
          <w:lang w:val="es-ES" w:eastAsia="es-ES"/>
        </w:rPr>
      </w:pPr>
      <w:r w:rsidRPr="00634A2C">
        <w:rPr>
          <w:rFonts w:ascii="Verdana" w:eastAsia="Times New Roman" w:hAnsi="Verdana" w:cs="Times New Roman"/>
          <w:b/>
          <w:bCs/>
          <w:sz w:val="18"/>
          <w:szCs w:val="18"/>
          <w:lang w:val="es-ES" w:eastAsia="es-ES"/>
        </w:rPr>
        <w:t>Bienes de Capital comprendidos en las posiciones arancelarias.</w:t>
      </w:r>
    </w:p>
    <w:p w:rsidR="00634A2C" w:rsidRDefault="00634A2C" w:rsidP="00634A2C">
      <w:pPr>
        <w:spacing w:after="240"/>
        <w:ind w:firstLine="0"/>
        <w:rPr>
          <w:rFonts w:ascii="Verdana" w:eastAsia="Times New Roman" w:hAnsi="Verdana" w:cs="Times New Roman"/>
          <w:sz w:val="18"/>
          <w:szCs w:val="18"/>
          <w:lang w:val="es-ES" w:eastAsia="es-ES"/>
        </w:rPr>
      </w:pPr>
      <w:r w:rsidRPr="00634A2C">
        <w:rPr>
          <w:rFonts w:ascii="Verdana" w:eastAsia="Times New Roman" w:hAnsi="Verdana" w:cs="Times New Roman"/>
          <w:sz w:val="18"/>
          <w:szCs w:val="18"/>
          <w:lang w:val="es-ES" w:eastAsia="es-ES"/>
        </w:rPr>
        <w:br/>
        <w:t>Bs. As., 8/7/2013</w:t>
      </w:r>
    </w:p>
    <w:p w:rsidR="00634A2C" w:rsidRDefault="00634A2C" w:rsidP="00634A2C">
      <w:pPr>
        <w:spacing w:after="240"/>
        <w:ind w:firstLine="0"/>
        <w:rPr>
          <w:rFonts w:ascii="Verdana" w:eastAsia="Times New Roman" w:hAnsi="Verdana" w:cs="Times New Roman"/>
          <w:sz w:val="18"/>
          <w:szCs w:val="18"/>
          <w:lang w:val="es-ES" w:eastAsia="es-ES"/>
        </w:rPr>
      </w:pPr>
      <w:r w:rsidRPr="00634A2C">
        <w:rPr>
          <w:rFonts w:ascii="Verdana" w:eastAsia="Times New Roman" w:hAnsi="Verdana" w:cs="Times New Roman"/>
          <w:sz w:val="18"/>
          <w:szCs w:val="18"/>
          <w:lang w:val="es-ES" w:eastAsia="es-ES"/>
        </w:rPr>
        <w:br/>
        <w:t>VISTO el Expediente Nº S01:0076220/2013 del Registro del MINISTERIO DE ECONOMIA Y FINANZAS PUBLICAS, y</w:t>
      </w:r>
    </w:p>
    <w:p w:rsidR="00634A2C" w:rsidRDefault="00634A2C" w:rsidP="00634A2C">
      <w:pPr>
        <w:spacing w:after="240"/>
        <w:ind w:firstLine="0"/>
        <w:rPr>
          <w:rFonts w:ascii="Verdana" w:eastAsia="Times New Roman" w:hAnsi="Verdana" w:cs="Times New Roman"/>
          <w:sz w:val="18"/>
          <w:szCs w:val="18"/>
          <w:lang w:val="es-ES" w:eastAsia="es-ES"/>
        </w:rPr>
      </w:pPr>
      <w:r w:rsidRPr="00634A2C">
        <w:rPr>
          <w:rFonts w:ascii="Verdana" w:eastAsia="Times New Roman" w:hAnsi="Verdana" w:cs="Times New Roman"/>
          <w:sz w:val="18"/>
          <w:szCs w:val="18"/>
          <w:lang w:val="es-ES" w:eastAsia="es-ES"/>
        </w:rPr>
        <w:br/>
        <w:t>CONSIDERANDO:</w:t>
      </w:r>
      <w:r w:rsidRPr="00634A2C">
        <w:rPr>
          <w:rFonts w:ascii="Verdana" w:eastAsia="Times New Roman" w:hAnsi="Verdana" w:cs="Times New Roman"/>
          <w:sz w:val="18"/>
          <w:szCs w:val="18"/>
          <w:lang w:val="es-ES" w:eastAsia="es-ES"/>
        </w:rPr>
        <w:br/>
      </w:r>
      <w:r w:rsidRPr="00634A2C">
        <w:rPr>
          <w:rFonts w:ascii="Verdana" w:eastAsia="Times New Roman" w:hAnsi="Verdana" w:cs="Times New Roman"/>
          <w:sz w:val="18"/>
          <w:szCs w:val="18"/>
          <w:lang w:val="es-ES" w:eastAsia="es-ES"/>
        </w:rPr>
        <w:br/>
        <w:t>Que la Ley Nº 26.741 declara de interés público nacional y como objetivo prioritario de la REPUBLICA ARGENTINA el logro del autoabastecimiento de hidrocarburos, así como la exploración, explotación, industrialización, transporte y comercialización de hidrocarburos, a fin de garantizar el desarrollo económico con equidad social, la creación de empleo, el incremento de la competitividad de los diversos sectores económicos y el crecimiento equitativo y sustentable de las provincias y regiones.</w:t>
      </w:r>
    </w:p>
    <w:p w:rsidR="00634A2C" w:rsidRDefault="00634A2C" w:rsidP="00634A2C">
      <w:pPr>
        <w:spacing w:after="240"/>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634A2C">
        <w:rPr>
          <w:rFonts w:ascii="Verdana" w:eastAsia="Times New Roman" w:hAnsi="Verdana" w:cs="Times New Roman"/>
          <w:sz w:val="18"/>
          <w:szCs w:val="18"/>
          <w:lang w:val="es-ES" w:eastAsia="es-ES"/>
        </w:rPr>
        <w:t>Que el Artículo 2° de la citada ley establece que el PODER EJECUTIVO NACIONAL, en su calidad de autoridad a cargo de la fijación de la política en la materia, arbitrará las medidas conducentes al cumplimiento de dichos fines.</w:t>
      </w:r>
    </w:p>
    <w:p w:rsidR="00634A2C" w:rsidRDefault="00634A2C" w:rsidP="00634A2C">
      <w:pPr>
        <w:spacing w:after="240"/>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634A2C">
        <w:rPr>
          <w:rFonts w:ascii="Verdana" w:eastAsia="Times New Roman" w:hAnsi="Verdana" w:cs="Times New Roman"/>
          <w:sz w:val="18"/>
          <w:szCs w:val="18"/>
          <w:lang w:val="es-ES" w:eastAsia="es-ES"/>
        </w:rPr>
        <w:t xml:space="preserve">Que asimismo, en su Artículo 3° se establecen como principios de la política </w:t>
      </w:r>
      <w:proofErr w:type="spellStart"/>
      <w:r w:rsidRPr="00634A2C">
        <w:rPr>
          <w:rFonts w:ascii="Verdana" w:eastAsia="Times New Roman" w:hAnsi="Verdana" w:cs="Times New Roman"/>
          <w:sz w:val="18"/>
          <w:szCs w:val="18"/>
          <w:lang w:val="es-ES" w:eastAsia="es-ES"/>
        </w:rPr>
        <w:t>hidrocarburífera</w:t>
      </w:r>
      <w:proofErr w:type="spellEnd"/>
      <w:r w:rsidRPr="00634A2C">
        <w:rPr>
          <w:rFonts w:ascii="Verdana" w:eastAsia="Times New Roman" w:hAnsi="Verdana" w:cs="Times New Roman"/>
          <w:sz w:val="18"/>
          <w:szCs w:val="18"/>
          <w:lang w:val="es-ES" w:eastAsia="es-ES"/>
        </w:rPr>
        <w:t>, entre otros, el de la incorporación de nuevas tecnologías que contribuyan al mejoramiento de las actividades de exploración y explotación de hidrocarburos y la promoción del desarrollo tecnológico en la REPUBLICA</w:t>
      </w:r>
      <w:r>
        <w:rPr>
          <w:rFonts w:ascii="Verdana" w:eastAsia="Times New Roman" w:hAnsi="Verdana" w:cs="Times New Roman"/>
          <w:sz w:val="18"/>
          <w:szCs w:val="18"/>
          <w:lang w:val="es-ES" w:eastAsia="es-ES"/>
        </w:rPr>
        <w:t xml:space="preserve"> ARGENTINA con ese objeto.</w:t>
      </w:r>
    </w:p>
    <w:p w:rsidR="00634A2C" w:rsidRDefault="00634A2C" w:rsidP="00634A2C">
      <w:pPr>
        <w:spacing w:after="240"/>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634A2C">
        <w:rPr>
          <w:rFonts w:ascii="Verdana" w:eastAsia="Times New Roman" w:hAnsi="Verdana" w:cs="Times New Roman"/>
          <w:sz w:val="18"/>
          <w:szCs w:val="18"/>
          <w:lang w:val="es-ES" w:eastAsia="es-ES"/>
        </w:rPr>
        <w:t>Que en tal sentido y a los efectos de avanzar decididamente en el desarrollo de los procesos que impulsa la Ley Nº 26.741, se estima necesario la adopción de medidas tendientes a lograr la actualización del equipamiento y maquinarias de las empresas del sector.</w:t>
      </w:r>
      <w:r w:rsidRPr="00634A2C">
        <w:rPr>
          <w:rFonts w:ascii="Verdana" w:eastAsia="Times New Roman" w:hAnsi="Verdana" w:cs="Times New Roman"/>
          <w:sz w:val="18"/>
          <w:szCs w:val="18"/>
          <w:lang w:val="es-ES" w:eastAsia="es-ES"/>
        </w:rPr>
        <w:br/>
      </w:r>
      <w:r w:rsidRPr="00634A2C">
        <w:rPr>
          <w:rFonts w:ascii="Verdana" w:eastAsia="Times New Roman" w:hAnsi="Verdana" w:cs="Times New Roman"/>
          <w:sz w:val="18"/>
          <w:szCs w:val="18"/>
          <w:lang w:val="es-ES" w:eastAsia="es-ES"/>
        </w:rPr>
        <w:br/>
        <w:t>Que atento las competencias asignadas a la COMISION DE PLANIFICACION Y COORDINACION ESTRATEGICA DEL PLAN NACIONAL DE INVERSIONES HIDROCARBURIFERAS en la órbita de la SECRETARIA DE POLITICA ECONOMICA Y PLANIFICACION DEL DESARROLLO del MINISTERIO DE ECONOMIA Y FINANZAS PUBLICAS, creada por el Decreto Nº 1.277 de fecha 25 de julio de 2012, deberá tomar intervención en el procedimiento que originen las solicitudes correspondientes en el que participarán también el MINISTERIO DE INDUSTRIA y la SECRETARIA DE HACIENDA del MINISTERIO DE ECONOMIA Y FINANZAS PUBLICAS, de acuerdo con las competencias que cada uno de estos organismos tienen asignadas.</w:t>
      </w:r>
    </w:p>
    <w:p w:rsidR="00634A2C" w:rsidRDefault="00634A2C" w:rsidP="00634A2C">
      <w:pPr>
        <w:spacing w:after="240"/>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634A2C">
        <w:rPr>
          <w:rFonts w:ascii="Verdana" w:eastAsia="Times New Roman" w:hAnsi="Verdana" w:cs="Times New Roman"/>
          <w:sz w:val="18"/>
          <w:szCs w:val="18"/>
          <w:lang w:val="es-ES" w:eastAsia="es-ES"/>
        </w:rPr>
        <w:t>Que la Dirección General de Asuntos Jurídicos del MINISTERIO DE ECONOMIA Y FINANZAS PUBLICAS ha tomado la intervención que le compete.</w:t>
      </w:r>
    </w:p>
    <w:p w:rsidR="00634A2C" w:rsidRDefault="00634A2C" w:rsidP="00634A2C">
      <w:pPr>
        <w:spacing w:after="240"/>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634A2C">
        <w:rPr>
          <w:rFonts w:ascii="Verdana" w:eastAsia="Times New Roman" w:hAnsi="Verdana" w:cs="Times New Roman"/>
          <w:sz w:val="18"/>
          <w:szCs w:val="18"/>
          <w:lang w:val="es-ES" w:eastAsia="es-ES"/>
        </w:rPr>
        <w:t>Que el presente decreto se dicta en ejercicio de las facultades conferidas al PODER EJECUTIVO NACIONAL por el inciso 1 del Artículo 99 de la CONSTITUCION NACIONAL, la Ley Nº 26.741 y el Artículo 664 de la Ley Nº 22.415 (Código Aduanero) y sus modificaciones.</w:t>
      </w:r>
      <w:r w:rsidRPr="00634A2C">
        <w:rPr>
          <w:rFonts w:ascii="Verdana" w:eastAsia="Times New Roman" w:hAnsi="Verdana" w:cs="Times New Roman"/>
          <w:sz w:val="18"/>
          <w:szCs w:val="18"/>
          <w:lang w:val="es-ES" w:eastAsia="es-ES"/>
        </w:rPr>
        <w:br/>
      </w:r>
      <w:r w:rsidRPr="00634A2C">
        <w:rPr>
          <w:rFonts w:ascii="Verdana" w:eastAsia="Times New Roman" w:hAnsi="Verdana" w:cs="Times New Roman"/>
          <w:sz w:val="18"/>
          <w:szCs w:val="18"/>
          <w:lang w:val="es-ES" w:eastAsia="es-ES"/>
        </w:rPr>
        <w:br/>
        <w:t>Por ello,</w:t>
      </w:r>
    </w:p>
    <w:p w:rsidR="00634A2C" w:rsidRDefault="00634A2C" w:rsidP="00634A2C">
      <w:pPr>
        <w:spacing w:after="240"/>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634A2C">
        <w:rPr>
          <w:rFonts w:ascii="Verdana" w:eastAsia="Times New Roman" w:hAnsi="Verdana" w:cs="Times New Roman"/>
          <w:sz w:val="18"/>
          <w:szCs w:val="18"/>
          <w:lang w:val="es-ES" w:eastAsia="es-ES"/>
        </w:rPr>
        <w:t>LA PRESIDENTA DE LA NACION ARGENTINA</w:t>
      </w:r>
    </w:p>
    <w:p w:rsidR="00634A2C" w:rsidRDefault="00634A2C" w:rsidP="00634A2C">
      <w:pPr>
        <w:spacing w:after="240"/>
        <w:ind w:firstLine="0"/>
        <w:rPr>
          <w:rFonts w:ascii="Verdana" w:eastAsia="Times New Roman" w:hAnsi="Verdana" w:cs="Times New Roman"/>
          <w:sz w:val="18"/>
          <w:szCs w:val="18"/>
          <w:lang w:val="es-ES" w:eastAsia="es-ES"/>
        </w:rPr>
      </w:pPr>
      <w:r w:rsidRPr="00634A2C">
        <w:rPr>
          <w:rFonts w:ascii="Verdana" w:eastAsia="Times New Roman" w:hAnsi="Verdana" w:cs="Times New Roman"/>
          <w:sz w:val="18"/>
          <w:szCs w:val="18"/>
          <w:lang w:val="es-ES" w:eastAsia="es-ES"/>
        </w:rPr>
        <w:t>DECRETA:</w:t>
      </w:r>
    </w:p>
    <w:p w:rsidR="00634A2C" w:rsidRDefault="00634A2C" w:rsidP="00634A2C">
      <w:pPr>
        <w:spacing w:after="240"/>
        <w:ind w:firstLine="0"/>
        <w:rPr>
          <w:rFonts w:ascii="Verdana" w:eastAsia="Times New Roman" w:hAnsi="Verdana" w:cs="Times New Roman"/>
          <w:sz w:val="18"/>
          <w:szCs w:val="18"/>
          <w:lang w:val="es-ES" w:eastAsia="es-ES"/>
        </w:rPr>
      </w:pPr>
      <w:r w:rsidRPr="00634A2C">
        <w:rPr>
          <w:rFonts w:ascii="Verdana" w:eastAsia="Times New Roman" w:hAnsi="Verdana" w:cs="Times New Roman"/>
          <w:sz w:val="18"/>
          <w:szCs w:val="18"/>
          <w:lang w:val="es-ES" w:eastAsia="es-ES"/>
        </w:rPr>
        <w:lastRenderedPageBreak/>
        <w:br/>
      </w:r>
      <w:r w:rsidRPr="00634A2C">
        <w:rPr>
          <w:rFonts w:ascii="Verdana" w:eastAsia="Times New Roman" w:hAnsi="Verdana" w:cs="Times New Roman"/>
          <w:sz w:val="18"/>
          <w:szCs w:val="18"/>
          <w:lang w:val="es-ES" w:eastAsia="es-ES"/>
        </w:rPr>
        <w:br/>
      </w:r>
      <w:r w:rsidRPr="00634A2C">
        <w:rPr>
          <w:rFonts w:ascii="Verdana" w:eastAsia="Times New Roman" w:hAnsi="Verdana" w:cs="Times New Roman"/>
          <w:b/>
          <w:bCs/>
          <w:sz w:val="18"/>
          <w:szCs w:val="18"/>
          <w:lang w:val="es-ES" w:eastAsia="es-ES"/>
        </w:rPr>
        <w:t>Artículo 1° —</w:t>
      </w:r>
      <w:r w:rsidRPr="00634A2C">
        <w:rPr>
          <w:rFonts w:ascii="Verdana" w:eastAsia="Times New Roman" w:hAnsi="Verdana" w:cs="Times New Roman"/>
          <w:sz w:val="18"/>
          <w:szCs w:val="18"/>
          <w:lang w:val="es-ES" w:eastAsia="es-ES"/>
        </w:rPr>
        <w:t xml:space="preserve"> Los bienes de capital comprendidos en las posiciones arancelarias de la Nomenclatura Común del MERCOSUR (N.C.M.), que se detallan en el Anexo que forma parte integrante del presente decreto, que hayan sido declarados como imprescindibles para la ejecución de sus Planes de Inversión por las empresas inscriptas en el Registro Nacional de Inversiones </w:t>
      </w:r>
      <w:proofErr w:type="spellStart"/>
      <w:r w:rsidRPr="00634A2C">
        <w:rPr>
          <w:rFonts w:ascii="Verdana" w:eastAsia="Times New Roman" w:hAnsi="Verdana" w:cs="Times New Roman"/>
          <w:sz w:val="18"/>
          <w:szCs w:val="18"/>
          <w:lang w:val="es-ES" w:eastAsia="es-ES"/>
        </w:rPr>
        <w:t>Hidrocarburíferas</w:t>
      </w:r>
      <w:proofErr w:type="spellEnd"/>
      <w:r w:rsidRPr="00634A2C">
        <w:rPr>
          <w:rFonts w:ascii="Verdana" w:eastAsia="Times New Roman" w:hAnsi="Verdana" w:cs="Times New Roman"/>
          <w:sz w:val="18"/>
          <w:szCs w:val="18"/>
          <w:lang w:val="es-ES" w:eastAsia="es-ES"/>
        </w:rPr>
        <w:t xml:space="preserve"> que lleva la COMISION DE PLANIFICACION Y COORDINACION ESTRATEGICA DEL PLAN NACIONAL DE INVERSIONES HIDROCARBURIFERAS en la órbita de la SECRETARIA DE POLITICA ECONOMICA Y PLANIFICACION DEL DESARROLLO del MINISTERIO DE ECONOMIA Y FINANZAS PUBLICAS, creada por el Decreto Nº 1.277 de fecha 25 de julio de 2012, tributarán si son nuevos el Derecho de Importación Extrazona (D.I.E.) que se indica en el Anexo de la presente medida, y si son usados idéntica alícuota a la consignada en el mismo Anexo, según las condiciones que se establecen por el presente decreto.</w:t>
      </w:r>
      <w:r w:rsidRPr="00634A2C">
        <w:rPr>
          <w:rFonts w:ascii="Verdana" w:eastAsia="Times New Roman" w:hAnsi="Verdana" w:cs="Times New Roman"/>
          <w:sz w:val="18"/>
          <w:szCs w:val="18"/>
          <w:lang w:val="es-ES" w:eastAsia="es-ES"/>
        </w:rPr>
        <w:br/>
      </w:r>
      <w:r w:rsidRPr="00634A2C">
        <w:rPr>
          <w:rFonts w:ascii="Verdana" w:eastAsia="Times New Roman" w:hAnsi="Verdana" w:cs="Times New Roman"/>
          <w:sz w:val="18"/>
          <w:szCs w:val="18"/>
          <w:lang w:val="es-ES" w:eastAsia="es-ES"/>
        </w:rPr>
        <w:br/>
        <w:t>En el caso de la posición arancelaria de la Nomenclatura Común del MERCOSUR (N.C.M.) 8421.39.90, el tratamiento arancelario para los bienes usados establecido en el párrafo precedente sólo será de aplicación para las siguientes mercaderías:</w:t>
      </w:r>
    </w:p>
    <w:p w:rsidR="00634A2C" w:rsidRDefault="00634A2C" w:rsidP="00634A2C">
      <w:pPr>
        <w:spacing w:after="240"/>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634A2C">
        <w:rPr>
          <w:rFonts w:ascii="Verdana" w:eastAsia="Times New Roman" w:hAnsi="Verdana" w:cs="Times New Roman"/>
          <w:sz w:val="18"/>
          <w:szCs w:val="18"/>
          <w:lang w:val="es-ES" w:eastAsia="es-ES"/>
        </w:rPr>
        <w:t>a) Filtro de aire por medio de mangas, con una superficie filtrante de 8.143 m2, capacidad máxima de procesamiento de 350.000 m3/h y transportadores a tornillo incorporados, para la descarga de material sólido retenido;</w:t>
      </w:r>
    </w:p>
    <w:p w:rsidR="00634A2C" w:rsidRDefault="00634A2C" w:rsidP="00634A2C">
      <w:pPr>
        <w:spacing w:after="240"/>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634A2C">
        <w:rPr>
          <w:rFonts w:ascii="Verdana" w:eastAsia="Times New Roman" w:hAnsi="Verdana" w:cs="Times New Roman"/>
          <w:sz w:val="18"/>
          <w:szCs w:val="18"/>
          <w:lang w:val="es-ES" w:eastAsia="es-ES"/>
        </w:rPr>
        <w:t xml:space="preserve">b) Ciclón depurador de aire, con motor eléctrico incorporado de 7,5 </w:t>
      </w:r>
      <w:proofErr w:type="spellStart"/>
      <w:r w:rsidRPr="00634A2C">
        <w:rPr>
          <w:rFonts w:ascii="Verdana" w:eastAsia="Times New Roman" w:hAnsi="Verdana" w:cs="Times New Roman"/>
          <w:sz w:val="18"/>
          <w:szCs w:val="18"/>
          <w:lang w:val="es-ES" w:eastAsia="es-ES"/>
        </w:rPr>
        <w:t>kW</w:t>
      </w:r>
      <w:proofErr w:type="spellEnd"/>
      <w:r w:rsidRPr="00634A2C">
        <w:rPr>
          <w:rFonts w:ascii="Verdana" w:eastAsia="Times New Roman" w:hAnsi="Verdana" w:cs="Times New Roman"/>
          <w:sz w:val="18"/>
          <w:szCs w:val="18"/>
          <w:lang w:val="es-ES" w:eastAsia="es-ES"/>
        </w:rPr>
        <w:t xml:space="preserve"> y una capacidad de procesamiento máximo igual a 2.000 m3/h.</w:t>
      </w:r>
    </w:p>
    <w:p w:rsidR="00634A2C" w:rsidRDefault="00634A2C" w:rsidP="00634A2C">
      <w:pPr>
        <w:spacing w:after="240"/>
        <w:ind w:firstLine="0"/>
        <w:rPr>
          <w:rFonts w:ascii="Verdana" w:eastAsia="Times New Roman" w:hAnsi="Verdana" w:cs="Times New Roman"/>
          <w:sz w:val="18"/>
          <w:szCs w:val="18"/>
          <w:lang w:val="es-ES" w:eastAsia="es-ES"/>
        </w:rPr>
      </w:pPr>
      <w:r w:rsidRPr="00634A2C">
        <w:rPr>
          <w:rFonts w:ascii="Verdana" w:eastAsia="Times New Roman" w:hAnsi="Verdana" w:cs="Times New Roman"/>
          <w:sz w:val="18"/>
          <w:szCs w:val="18"/>
          <w:lang w:val="es-ES" w:eastAsia="es-ES"/>
        </w:rPr>
        <w:br/>
      </w:r>
      <w:r w:rsidRPr="00634A2C">
        <w:rPr>
          <w:rFonts w:ascii="Verdana" w:eastAsia="Times New Roman" w:hAnsi="Verdana" w:cs="Times New Roman"/>
          <w:b/>
          <w:bCs/>
          <w:sz w:val="18"/>
          <w:szCs w:val="18"/>
          <w:lang w:val="es-ES" w:eastAsia="es-ES"/>
        </w:rPr>
        <w:t>Art. 2° —</w:t>
      </w:r>
      <w:r w:rsidRPr="00634A2C">
        <w:rPr>
          <w:rFonts w:ascii="Verdana" w:eastAsia="Times New Roman" w:hAnsi="Verdana" w:cs="Times New Roman"/>
          <w:sz w:val="18"/>
          <w:szCs w:val="18"/>
          <w:lang w:val="es-ES" w:eastAsia="es-ES"/>
        </w:rPr>
        <w:t xml:space="preserve"> La COMISION DE PLANIFICACION Y COORDINACION ESTRATEGICA DEL PLAN NACIONAL DE INVERSIONES HIDROCARBURIFERAS fijará los procedimientos operativos a fin de dar cumplimiento a lo dispuesto en el Artículo 1° del presente decreto.</w:t>
      </w:r>
    </w:p>
    <w:p w:rsidR="00634A2C" w:rsidRDefault="00634A2C" w:rsidP="00634A2C">
      <w:pPr>
        <w:spacing w:after="240"/>
        <w:ind w:firstLine="0"/>
        <w:rPr>
          <w:rFonts w:ascii="Verdana" w:eastAsia="Times New Roman" w:hAnsi="Verdana" w:cs="Times New Roman"/>
          <w:sz w:val="18"/>
          <w:szCs w:val="18"/>
          <w:lang w:val="es-ES" w:eastAsia="es-ES"/>
        </w:rPr>
      </w:pPr>
      <w:r w:rsidRPr="00634A2C">
        <w:rPr>
          <w:rFonts w:ascii="Verdana" w:eastAsia="Times New Roman" w:hAnsi="Verdana" w:cs="Times New Roman"/>
          <w:sz w:val="18"/>
          <w:szCs w:val="18"/>
          <w:lang w:val="es-ES" w:eastAsia="es-ES"/>
        </w:rPr>
        <w:br/>
      </w:r>
      <w:r w:rsidRPr="00634A2C">
        <w:rPr>
          <w:rFonts w:ascii="Verdana" w:eastAsia="Times New Roman" w:hAnsi="Verdana" w:cs="Times New Roman"/>
          <w:b/>
          <w:bCs/>
          <w:sz w:val="18"/>
          <w:szCs w:val="18"/>
          <w:lang w:val="es-ES" w:eastAsia="es-ES"/>
        </w:rPr>
        <w:t>Art. 3° —</w:t>
      </w:r>
      <w:r w:rsidRPr="00634A2C">
        <w:rPr>
          <w:rFonts w:ascii="Verdana" w:eastAsia="Times New Roman" w:hAnsi="Verdana" w:cs="Times New Roman"/>
          <w:sz w:val="18"/>
          <w:szCs w:val="18"/>
          <w:lang w:val="es-ES" w:eastAsia="es-ES"/>
        </w:rPr>
        <w:t xml:space="preserve"> La referida Comisión remitirá al MINISTERIO DE INDUSTRIA las actuaciones administrativas en consulta a los efectos de que determine la existencia o no de producción nacional del bien a incorporar por la empresa y/o la afectación al potencial desarrollo sustentable de producción nacional.</w:t>
      </w:r>
    </w:p>
    <w:p w:rsidR="00634A2C" w:rsidRDefault="00634A2C" w:rsidP="00634A2C">
      <w:pPr>
        <w:spacing w:after="240"/>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634A2C">
        <w:rPr>
          <w:rFonts w:ascii="Verdana" w:eastAsia="Times New Roman" w:hAnsi="Verdana" w:cs="Times New Roman"/>
          <w:sz w:val="18"/>
          <w:szCs w:val="18"/>
          <w:lang w:val="es-ES" w:eastAsia="es-ES"/>
        </w:rPr>
        <w:t>A tal fin, el MINISTERIO DE INDUSTRIA deberá recabar la información fehaciente fijando en cada comunicación cursada un plazo para la contestación de DIEZ (10) días corridos, bajo el entendimiento que la falta de respuesta será entendida como negativa a la consulta.</w:t>
      </w:r>
    </w:p>
    <w:p w:rsidR="00634A2C" w:rsidRDefault="00634A2C" w:rsidP="00634A2C">
      <w:pPr>
        <w:spacing w:after="240"/>
        <w:ind w:firstLine="0"/>
        <w:rPr>
          <w:rFonts w:ascii="Verdana" w:eastAsia="Times New Roman" w:hAnsi="Verdana" w:cs="Times New Roman"/>
          <w:sz w:val="18"/>
          <w:szCs w:val="18"/>
          <w:lang w:val="es-ES" w:eastAsia="es-ES"/>
        </w:rPr>
      </w:pPr>
      <w:r w:rsidRPr="00634A2C">
        <w:rPr>
          <w:rFonts w:ascii="Verdana" w:eastAsia="Times New Roman" w:hAnsi="Verdana" w:cs="Times New Roman"/>
          <w:sz w:val="18"/>
          <w:szCs w:val="18"/>
          <w:lang w:val="es-ES" w:eastAsia="es-ES"/>
        </w:rPr>
        <w:br/>
      </w:r>
      <w:r w:rsidRPr="00634A2C">
        <w:rPr>
          <w:rFonts w:ascii="Verdana" w:eastAsia="Times New Roman" w:hAnsi="Verdana" w:cs="Times New Roman"/>
          <w:b/>
          <w:bCs/>
          <w:sz w:val="18"/>
          <w:szCs w:val="18"/>
          <w:lang w:val="es-ES" w:eastAsia="es-ES"/>
        </w:rPr>
        <w:t>Art. 4° —</w:t>
      </w:r>
      <w:r w:rsidRPr="00634A2C">
        <w:rPr>
          <w:rFonts w:ascii="Verdana" w:eastAsia="Times New Roman" w:hAnsi="Verdana" w:cs="Times New Roman"/>
          <w:sz w:val="18"/>
          <w:szCs w:val="18"/>
          <w:lang w:val="es-ES" w:eastAsia="es-ES"/>
        </w:rPr>
        <w:t xml:space="preserve"> En caso de que no exista producción nacional ni afecte negativamente su potencial desarrollo, el MINISTERIO DE INDUSTRIA hará constar la situación en las actuaciones las que serán devueltas a la COMISION DE PLANIFICACION Y COORDINACION ESTRATEGICA DEL PLAN NACIONAL DE INVERSIONES HIDROCARBURIFERAS.</w:t>
      </w:r>
    </w:p>
    <w:p w:rsidR="00634A2C" w:rsidRDefault="00634A2C" w:rsidP="00634A2C">
      <w:pPr>
        <w:spacing w:after="240"/>
        <w:ind w:firstLine="0"/>
        <w:rPr>
          <w:rFonts w:ascii="Verdana" w:eastAsia="Times New Roman" w:hAnsi="Verdana" w:cs="Times New Roman"/>
          <w:sz w:val="18"/>
          <w:szCs w:val="18"/>
          <w:lang w:val="es-ES" w:eastAsia="es-ES"/>
        </w:rPr>
      </w:pPr>
      <w:r>
        <w:rPr>
          <w:rFonts w:ascii="Verdana" w:eastAsia="Times New Roman" w:hAnsi="Verdana" w:cs="Times New Roman"/>
          <w:sz w:val="18"/>
          <w:szCs w:val="18"/>
          <w:lang w:val="es-ES" w:eastAsia="es-ES"/>
        </w:rPr>
        <w:br/>
      </w:r>
      <w:r w:rsidRPr="00634A2C">
        <w:rPr>
          <w:rFonts w:ascii="Verdana" w:eastAsia="Times New Roman" w:hAnsi="Verdana" w:cs="Times New Roman"/>
          <w:sz w:val="18"/>
          <w:szCs w:val="18"/>
          <w:lang w:val="es-ES" w:eastAsia="es-ES"/>
        </w:rPr>
        <w:t>En el caso contrario, previo a la devolución de las actuaciones, el MINISTERIO DE INDUSTRIA informará las empresas que produzcan el bien en el país, disponibilidad existente y plazo posible de entrega de la mercadería, precio y, finalmente, toda aquella información que le sea requerida oportunamente.</w:t>
      </w:r>
    </w:p>
    <w:p w:rsidR="00634A2C" w:rsidRDefault="00634A2C" w:rsidP="00634A2C">
      <w:pPr>
        <w:spacing w:after="240"/>
        <w:ind w:firstLine="0"/>
        <w:rPr>
          <w:rFonts w:ascii="Verdana" w:eastAsia="Times New Roman" w:hAnsi="Verdana" w:cs="Times New Roman"/>
          <w:sz w:val="18"/>
          <w:szCs w:val="18"/>
          <w:lang w:val="es-ES" w:eastAsia="es-ES"/>
        </w:rPr>
      </w:pPr>
      <w:r w:rsidRPr="00634A2C">
        <w:rPr>
          <w:rFonts w:ascii="Verdana" w:eastAsia="Times New Roman" w:hAnsi="Verdana" w:cs="Times New Roman"/>
          <w:sz w:val="18"/>
          <w:szCs w:val="18"/>
          <w:lang w:val="es-ES" w:eastAsia="es-ES"/>
        </w:rPr>
        <w:t>Se establecerá un formulario tipo para la contestación de lo anteriormente referenciado.</w:t>
      </w:r>
      <w:r w:rsidRPr="00634A2C">
        <w:rPr>
          <w:rFonts w:ascii="Verdana" w:eastAsia="Times New Roman" w:hAnsi="Verdana" w:cs="Times New Roman"/>
          <w:sz w:val="18"/>
          <w:szCs w:val="18"/>
          <w:lang w:val="es-ES" w:eastAsia="es-ES"/>
        </w:rPr>
        <w:br/>
      </w:r>
      <w:r w:rsidRPr="00634A2C">
        <w:rPr>
          <w:rFonts w:ascii="Verdana" w:eastAsia="Times New Roman" w:hAnsi="Verdana" w:cs="Times New Roman"/>
          <w:sz w:val="18"/>
          <w:szCs w:val="18"/>
          <w:lang w:val="es-ES" w:eastAsia="es-ES"/>
        </w:rPr>
        <w:br/>
      </w:r>
      <w:r w:rsidRPr="00634A2C">
        <w:rPr>
          <w:rFonts w:ascii="Verdana" w:eastAsia="Times New Roman" w:hAnsi="Verdana" w:cs="Times New Roman"/>
          <w:b/>
          <w:bCs/>
          <w:sz w:val="18"/>
          <w:szCs w:val="18"/>
          <w:lang w:val="es-ES" w:eastAsia="es-ES"/>
        </w:rPr>
        <w:t>Art. 5° —</w:t>
      </w:r>
      <w:r w:rsidRPr="00634A2C">
        <w:rPr>
          <w:rFonts w:ascii="Verdana" w:eastAsia="Times New Roman" w:hAnsi="Verdana" w:cs="Times New Roman"/>
          <w:sz w:val="18"/>
          <w:szCs w:val="18"/>
          <w:lang w:val="es-ES" w:eastAsia="es-ES"/>
        </w:rPr>
        <w:t xml:space="preserve"> La COMISION DE PLANIFICACION Y COORDINACION ESTRATEGICA DEL PLAN NACIONAL DE INVERSIONES HIDROCARBURIFERAS, a requerimiento de las empresas, emitirá un dictamen a los efectos de ser presentado por los interesados ante la Dirección General de Aduanas de la ADMINISTRACION FEDERAL DE INGRESOS PUBLICOS, entidad autárquica en el ámbito del MINISTERIO DE ECONOMIA Y FINANZAS PUBLICAS, con copia a </w:t>
      </w:r>
      <w:r w:rsidRPr="00634A2C">
        <w:rPr>
          <w:rFonts w:ascii="Verdana" w:eastAsia="Times New Roman" w:hAnsi="Verdana" w:cs="Times New Roman"/>
          <w:sz w:val="18"/>
          <w:szCs w:val="18"/>
          <w:lang w:val="es-ES" w:eastAsia="es-ES"/>
        </w:rPr>
        <w:lastRenderedPageBreak/>
        <w:t>la SECRETARIA DE HACIENDA del MINISTERIO DE ECONOMIA Y FINANZAS PUBLICAS, para su conocimiento.</w:t>
      </w:r>
    </w:p>
    <w:p w:rsidR="00634A2C" w:rsidRDefault="00634A2C" w:rsidP="00634A2C">
      <w:pPr>
        <w:spacing w:after="240"/>
        <w:ind w:firstLine="0"/>
        <w:rPr>
          <w:rFonts w:ascii="Verdana" w:eastAsia="Times New Roman" w:hAnsi="Verdana" w:cs="Times New Roman"/>
          <w:sz w:val="18"/>
          <w:szCs w:val="18"/>
          <w:lang w:val="es-ES" w:eastAsia="es-ES"/>
        </w:rPr>
      </w:pPr>
      <w:r w:rsidRPr="00634A2C">
        <w:rPr>
          <w:rFonts w:ascii="Verdana" w:eastAsia="Times New Roman" w:hAnsi="Verdana" w:cs="Times New Roman"/>
          <w:sz w:val="18"/>
          <w:szCs w:val="18"/>
          <w:lang w:val="es-ES" w:eastAsia="es-ES"/>
        </w:rPr>
        <w:br/>
      </w:r>
      <w:r w:rsidRPr="00634A2C">
        <w:rPr>
          <w:rFonts w:ascii="Verdana" w:eastAsia="Times New Roman" w:hAnsi="Verdana" w:cs="Times New Roman"/>
          <w:b/>
          <w:bCs/>
          <w:sz w:val="18"/>
          <w:szCs w:val="18"/>
          <w:lang w:val="es-ES" w:eastAsia="es-ES"/>
        </w:rPr>
        <w:t>Art. 6° —</w:t>
      </w:r>
      <w:r w:rsidRPr="00634A2C">
        <w:rPr>
          <w:rFonts w:ascii="Verdana" w:eastAsia="Times New Roman" w:hAnsi="Verdana" w:cs="Times New Roman"/>
          <w:sz w:val="18"/>
          <w:szCs w:val="18"/>
          <w:lang w:val="es-ES" w:eastAsia="es-ES"/>
        </w:rPr>
        <w:t xml:space="preserve"> La presente medida tendrá vigencia a partir de la fecha de su publicación en el Boletín Oficial y hasta el día 30 de junio de 2014, inclusive.</w:t>
      </w:r>
    </w:p>
    <w:p w:rsidR="00634A2C" w:rsidRDefault="00634A2C" w:rsidP="00634A2C">
      <w:pPr>
        <w:spacing w:after="240"/>
        <w:ind w:firstLine="0"/>
        <w:rPr>
          <w:rFonts w:ascii="Verdana" w:eastAsia="Times New Roman" w:hAnsi="Verdana" w:cs="Times New Roman"/>
          <w:sz w:val="18"/>
          <w:szCs w:val="18"/>
          <w:lang w:val="es-ES" w:eastAsia="es-ES"/>
        </w:rPr>
      </w:pPr>
      <w:r w:rsidRPr="00634A2C">
        <w:rPr>
          <w:rFonts w:ascii="Verdana" w:eastAsia="Times New Roman" w:hAnsi="Verdana" w:cs="Times New Roman"/>
          <w:sz w:val="18"/>
          <w:szCs w:val="18"/>
          <w:lang w:val="es-ES" w:eastAsia="es-ES"/>
        </w:rPr>
        <w:br/>
      </w:r>
      <w:r w:rsidRPr="00634A2C">
        <w:rPr>
          <w:rFonts w:ascii="Verdana" w:eastAsia="Times New Roman" w:hAnsi="Verdana" w:cs="Times New Roman"/>
          <w:b/>
          <w:bCs/>
          <w:sz w:val="18"/>
          <w:szCs w:val="18"/>
          <w:lang w:val="es-ES" w:eastAsia="es-ES"/>
        </w:rPr>
        <w:t>Art. 7° —</w:t>
      </w:r>
      <w:r w:rsidRPr="00634A2C">
        <w:rPr>
          <w:rFonts w:ascii="Verdana" w:eastAsia="Times New Roman" w:hAnsi="Verdana" w:cs="Times New Roman"/>
          <w:sz w:val="18"/>
          <w:szCs w:val="18"/>
          <w:lang w:val="es-ES" w:eastAsia="es-ES"/>
        </w:rPr>
        <w:t xml:space="preserve"> Comuníquese, publíquese, </w:t>
      </w:r>
      <w:proofErr w:type="spellStart"/>
      <w:r w:rsidRPr="00634A2C">
        <w:rPr>
          <w:rFonts w:ascii="Verdana" w:eastAsia="Times New Roman" w:hAnsi="Verdana" w:cs="Times New Roman"/>
          <w:sz w:val="18"/>
          <w:szCs w:val="18"/>
          <w:lang w:val="es-ES" w:eastAsia="es-ES"/>
        </w:rPr>
        <w:t>dése</w:t>
      </w:r>
      <w:proofErr w:type="spellEnd"/>
      <w:r w:rsidRPr="00634A2C">
        <w:rPr>
          <w:rFonts w:ascii="Verdana" w:eastAsia="Times New Roman" w:hAnsi="Verdana" w:cs="Times New Roman"/>
          <w:sz w:val="18"/>
          <w:szCs w:val="18"/>
          <w:lang w:val="es-ES" w:eastAsia="es-ES"/>
        </w:rPr>
        <w:t xml:space="preserve"> a la Dirección Nacional del Registro Oficial y archívese. — FERNANDEZ DE KIRCHNER. — Juan M. </w:t>
      </w:r>
      <w:proofErr w:type="spellStart"/>
      <w:r w:rsidRPr="00634A2C">
        <w:rPr>
          <w:rFonts w:ascii="Verdana" w:eastAsia="Times New Roman" w:hAnsi="Verdana" w:cs="Times New Roman"/>
          <w:sz w:val="18"/>
          <w:szCs w:val="18"/>
          <w:lang w:val="es-ES" w:eastAsia="es-ES"/>
        </w:rPr>
        <w:t>Abal</w:t>
      </w:r>
      <w:proofErr w:type="spellEnd"/>
      <w:r w:rsidRPr="00634A2C">
        <w:rPr>
          <w:rFonts w:ascii="Verdana" w:eastAsia="Times New Roman" w:hAnsi="Verdana" w:cs="Times New Roman"/>
          <w:sz w:val="18"/>
          <w:szCs w:val="18"/>
          <w:lang w:val="es-ES" w:eastAsia="es-ES"/>
        </w:rPr>
        <w:t xml:space="preserve"> Medina. — Hernán G. </w:t>
      </w:r>
      <w:proofErr w:type="spellStart"/>
      <w:r w:rsidRPr="00634A2C">
        <w:rPr>
          <w:rFonts w:ascii="Verdana" w:eastAsia="Times New Roman" w:hAnsi="Verdana" w:cs="Times New Roman"/>
          <w:sz w:val="18"/>
          <w:szCs w:val="18"/>
          <w:lang w:val="es-ES" w:eastAsia="es-ES"/>
        </w:rPr>
        <w:t>Lorenzino</w:t>
      </w:r>
      <w:proofErr w:type="spellEnd"/>
      <w:r w:rsidRPr="00634A2C">
        <w:rPr>
          <w:rFonts w:ascii="Verdana" w:eastAsia="Times New Roman" w:hAnsi="Verdana" w:cs="Times New Roman"/>
          <w:sz w:val="18"/>
          <w:szCs w:val="18"/>
          <w:lang w:val="es-ES" w:eastAsia="es-ES"/>
        </w:rPr>
        <w:t>.</w:t>
      </w:r>
    </w:p>
    <w:p w:rsidR="00634A2C" w:rsidRPr="00634A2C" w:rsidRDefault="00634A2C" w:rsidP="00634A2C">
      <w:pPr>
        <w:ind w:firstLine="0"/>
        <w:jc w:val="right"/>
        <w:rPr>
          <w:rFonts w:ascii="Verdana" w:eastAsia="Times New Roman" w:hAnsi="Verdana" w:cs="Times New Roman"/>
          <w:sz w:val="18"/>
          <w:szCs w:val="18"/>
          <w:lang w:val="es-ES" w:eastAsia="es-ES"/>
        </w:rPr>
      </w:pPr>
      <w:r w:rsidRPr="00634A2C">
        <w:rPr>
          <w:rFonts w:ascii="Verdana" w:eastAsia="Times New Roman" w:hAnsi="Verdana" w:cs="Times New Roman"/>
          <w:sz w:val="18"/>
          <w:szCs w:val="18"/>
          <w:lang w:val="es-ES" w:eastAsia="es-ES"/>
        </w:rPr>
        <w:t>ANEXO</w:t>
      </w:r>
    </w:p>
    <w:p w:rsidR="00634A2C" w:rsidRPr="00634A2C" w:rsidRDefault="00634A2C" w:rsidP="00634A2C">
      <w:pPr>
        <w:ind w:firstLine="0"/>
        <w:rPr>
          <w:rFonts w:ascii="Trebuchet MS" w:eastAsia="Times New Roman" w:hAnsi="Trebuchet MS" w:cs="Times New Roman"/>
          <w:color w:val="000000"/>
          <w:sz w:val="20"/>
          <w:szCs w:val="20"/>
          <w:lang w:val="es-ES" w:eastAsia="es-ES"/>
        </w:rPr>
      </w:pPr>
      <w:r w:rsidRPr="00634A2C">
        <w:rPr>
          <w:rFonts w:ascii="Verdana" w:eastAsia="Times New Roman" w:hAnsi="Verdana" w:cs="Times New Roman"/>
          <w:sz w:val="18"/>
          <w:szCs w:val="18"/>
          <w:lang w:val="es-ES" w:eastAsia="es-ES"/>
        </w:rPr>
        <w:br/>
      </w:r>
    </w:p>
    <w:tbl>
      <w:tblPr>
        <w:tblW w:w="8174" w:type="dxa"/>
        <w:tblCellSpacing w:w="15" w:type="dxa"/>
        <w:tblBorders>
          <w:top w:val="outset" w:sz="6" w:space="0" w:color="auto"/>
          <w:left w:val="outset" w:sz="6" w:space="0" w:color="auto"/>
          <w:bottom w:val="outset" w:sz="6" w:space="0" w:color="auto"/>
          <w:right w:val="outset" w:sz="6" w:space="0" w:color="auto"/>
        </w:tblBorders>
        <w:tblCellMar>
          <w:top w:w="150" w:type="dxa"/>
          <w:left w:w="15" w:type="dxa"/>
          <w:bottom w:w="150" w:type="dxa"/>
          <w:right w:w="15" w:type="dxa"/>
        </w:tblCellMar>
        <w:tblLook w:val="04A0"/>
      </w:tblPr>
      <w:tblGrid>
        <w:gridCol w:w="1336"/>
        <w:gridCol w:w="6838"/>
      </w:tblGrid>
      <w:tr w:rsidR="00634A2C" w:rsidRPr="00634A2C" w:rsidTr="00634A2C">
        <w:trPr>
          <w:trHeight w:val="225"/>
          <w:tblCellSpacing w:w="15" w:type="dxa"/>
        </w:trPr>
        <w:tc>
          <w:tcPr>
            <w:tcW w:w="1291" w:type="dxa"/>
            <w:vMerge w:val="restart"/>
            <w:tcBorders>
              <w:top w:val="outset" w:sz="6" w:space="0" w:color="auto"/>
              <w:left w:val="outset" w:sz="6" w:space="0" w:color="auto"/>
              <w:bottom w:val="single" w:sz="6" w:space="0" w:color="666666"/>
              <w:right w:val="outset" w:sz="6" w:space="0" w:color="auto"/>
            </w:tcBorders>
            <w:shd w:val="clear" w:color="auto" w:fill="FFFFFF"/>
            <w:hideMark/>
          </w:tcPr>
          <w:p w:rsidR="00634A2C" w:rsidRPr="00634A2C" w:rsidRDefault="00634A2C" w:rsidP="00634A2C">
            <w:pPr>
              <w:ind w:firstLine="0"/>
              <w:jc w:val="center"/>
              <w:rPr>
                <w:rFonts w:ascii="Verdana" w:eastAsia="Times New Roman" w:hAnsi="Verdana" w:cs="Times New Roman"/>
                <w:color w:val="000000"/>
                <w:sz w:val="18"/>
                <w:szCs w:val="18"/>
                <w:lang w:val="es-ES" w:eastAsia="es-ES"/>
              </w:rPr>
            </w:pPr>
            <w:r w:rsidRPr="00634A2C">
              <w:rPr>
                <w:rFonts w:ascii="Verdana" w:eastAsia="Times New Roman" w:hAnsi="Verdana" w:cs="Times New Roman"/>
                <w:color w:val="000000"/>
                <w:sz w:val="18"/>
                <w:szCs w:val="18"/>
                <w:lang w:val="es-ES" w:eastAsia="es-ES"/>
              </w:rPr>
              <w:t>N.C.M.</w:t>
            </w:r>
          </w:p>
        </w:tc>
        <w:tc>
          <w:tcPr>
            <w:tcW w:w="6793" w:type="dxa"/>
            <w:tcBorders>
              <w:top w:val="outset" w:sz="6" w:space="0" w:color="auto"/>
              <w:left w:val="outset" w:sz="6" w:space="0" w:color="auto"/>
              <w:bottom w:val="single" w:sz="6" w:space="0" w:color="666666"/>
              <w:right w:val="outset" w:sz="6" w:space="0" w:color="auto"/>
            </w:tcBorders>
            <w:shd w:val="clear" w:color="auto" w:fill="FFFFFF"/>
            <w:hideMark/>
          </w:tcPr>
          <w:p w:rsidR="00634A2C" w:rsidRPr="00634A2C" w:rsidRDefault="00634A2C" w:rsidP="00634A2C">
            <w:pPr>
              <w:ind w:firstLine="0"/>
              <w:jc w:val="center"/>
              <w:rPr>
                <w:rFonts w:ascii="Verdana" w:eastAsia="Times New Roman" w:hAnsi="Verdana" w:cs="Times New Roman"/>
                <w:color w:val="000000"/>
                <w:sz w:val="18"/>
                <w:szCs w:val="18"/>
                <w:lang w:val="es-ES" w:eastAsia="es-ES"/>
              </w:rPr>
            </w:pPr>
            <w:r w:rsidRPr="00634A2C">
              <w:rPr>
                <w:rFonts w:ascii="Verdana" w:eastAsia="Times New Roman" w:hAnsi="Verdana" w:cs="Times New Roman"/>
                <w:color w:val="000000"/>
                <w:sz w:val="18"/>
                <w:szCs w:val="18"/>
                <w:lang w:val="es-ES" w:eastAsia="es-ES"/>
              </w:rPr>
              <w:t>D.I.E.</w:t>
            </w:r>
          </w:p>
        </w:tc>
      </w:tr>
      <w:tr w:rsidR="00634A2C" w:rsidRPr="00634A2C" w:rsidTr="00634A2C">
        <w:trPr>
          <w:trHeight w:val="225"/>
          <w:tblCellSpacing w:w="15" w:type="dxa"/>
        </w:trPr>
        <w:tc>
          <w:tcPr>
            <w:tcW w:w="1291" w:type="dxa"/>
            <w:vMerge/>
            <w:tcBorders>
              <w:top w:val="outset" w:sz="6" w:space="0" w:color="auto"/>
              <w:left w:val="outset" w:sz="6" w:space="0" w:color="auto"/>
              <w:bottom w:val="single" w:sz="6" w:space="0" w:color="666666"/>
              <w:right w:val="outset" w:sz="6" w:space="0" w:color="auto"/>
            </w:tcBorders>
            <w:vAlign w:val="center"/>
            <w:hideMark/>
          </w:tcPr>
          <w:p w:rsidR="00634A2C" w:rsidRPr="00634A2C" w:rsidRDefault="00634A2C" w:rsidP="00634A2C">
            <w:pPr>
              <w:ind w:firstLine="0"/>
              <w:jc w:val="left"/>
              <w:rPr>
                <w:rFonts w:ascii="Verdana" w:eastAsia="Times New Roman" w:hAnsi="Verdana" w:cs="Times New Roman"/>
                <w:color w:val="000000"/>
                <w:sz w:val="18"/>
                <w:szCs w:val="18"/>
                <w:lang w:val="es-ES" w:eastAsia="es-ES"/>
              </w:rPr>
            </w:pPr>
          </w:p>
        </w:tc>
        <w:tc>
          <w:tcPr>
            <w:tcW w:w="6793" w:type="dxa"/>
            <w:tcBorders>
              <w:top w:val="outset" w:sz="6" w:space="0" w:color="auto"/>
              <w:left w:val="outset" w:sz="6" w:space="0" w:color="auto"/>
              <w:bottom w:val="single" w:sz="6" w:space="0" w:color="666666"/>
              <w:right w:val="outset" w:sz="6" w:space="0" w:color="auto"/>
            </w:tcBorders>
            <w:shd w:val="clear" w:color="auto" w:fill="FFFFFF"/>
            <w:hideMark/>
          </w:tcPr>
          <w:p w:rsidR="00634A2C" w:rsidRPr="00634A2C" w:rsidRDefault="00634A2C" w:rsidP="00634A2C">
            <w:pPr>
              <w:tabs>
                <w:tab w:val="center" w:pos="6599"/>
                <w:tab w:val="left" w:pos="8505"/>
              </w:tabs>
              <w:ind w:firstLine="0"/>
              <w:jc w:val="center"/>
              <w:rPr>
                <w:rFonts w:ascii="Verdana" w:eastAsia="Times New Roman" w:hAnsi="Verdana" w:cs="Times New Roman"/>
                <w:color w:val="000000"/>
                <w:sz w:val="18"/>
                <w:szCs w:val="18"/>
                <w:lang w:val="es-ES" w:eastAsia="es-ES"/>
              </w:rPr>
            </w:pPr>
            <w:r w:rsidRPr="00634A2C">
              <w:rPr>
                <w:rFonts w:ascii="Verdana" w:eastAsia="Times New Roman" w:hAnsi="Verdana" w:cs="Times New Roman"/>
                <w:color w:val="000000"/>
                <w:sz w:val="18"/>
                <w:szCs w:val="18"/>
                <w:lang w:val="es-ES" w:eastAsia="es-ES"/>
              </w:rPr>
              <w:t>(%)</w:t>
            </w:r>
          </w:p>
        </w:tc>
      </w:tr>
      <w:tr w:rsidR="00634A2C" w:rsidRPr="00634A2C" w:rsidTr="00634A2C">
        <w:trPr>
          <w:trHeight w:val="225"/>
          <w:tblCellSpacing w:w="15" w:type="dxa"/>
        </w:trPr>
        <w:tc>
          <w:tcPr>
            <w:tcW w:w="1291" w:type="dxa"/>
            <w:tcBorders>
              <w:top w:val="outset" w:sz="6" w:space="0" w:color="auto"/>
              <w:left w:val="outset" w:sz="6" w:space="0" w:color="auto"/>
              <w:bottom w:val="single" w:sz="6" w:space="0" w:color="666666"/>
              <w:right w:val="outset" w:sz="6" w:space="0" w:color="auto"/>
            </w:tcBorders>
            <w:shd w:val="clear" w:color="auto" w:fill="FFFFFF"/>
            <w:hideMark/>
          </w:tcPr>
          <w:p w:rsidR="00634A2C" w:rsidRPr="00634A2C" w:rsidRDefault="00634A2C" w:rsidP="00634A2C">
            <w:pPr>
              <w:ind w:firstLine="0"/>
              <w:jc w:val="center"/>
              <w:rPr>
                <w:rFonts w:ascii="Verdana" w:eastAsia="Times New Roman" w:hAnsi="Verdana" w:cs="Times New Roman"/>
                <w:color w:val="000000"/>
                <w:sz w:val="18"/>
                <w:szCs w:val="18"/>
                <w:lang w:val="es-ES" w:eastAsia="es-ES"/>
              </w:rPr>
            </w:pPr>
            <w:r w:rsidRPr="00634A2C">
              <w:rPr>
                <w:rFonts w:ascii="Verdana" w:eastAsia="Times New Roman" w:hAnsi="Verdana" w:cs="Times New Roman"/>
                <w:color w:val="000000"/>
                <w:sz w:val="18"/>
                <w:szCs w:val="18"/>
                <w:lang w:val="es-ES" w:eastAsia="es-ES"/>
              </w:rPr>
              <w:t>8421.39.90</w:t>
            </w:r>
          </w:p>
        </w:tc>
        <w:tc>
          <w:tcPr>
            <w:tcW w:w="6793" w:type="dxa"/>
            <w:tcBorders>
              <w:top w:val="outset" w:sz="6" w:space="0" w:color="auto"/>
              <w:left w:val="outset" w:sz="6" w:space="0" w:color="auto"/>
              <w:bottom w:val="single" w:sz="6" w:space="0" w:color="666666"/>
              <w:right w:val="outset" w:sz="6" w:space="0" w:color="auto"/>
            </w:tcBorders>
            <w:shd w:val="clear" w:color="auto" w:fill="FFFFFF"/>
            <w:hideMark/>
          </w:tcPr>
          <w:p w:rsidR="00634A2C" w:rsidRPr="00634A2C" w:rsidRDefault="00634A2C" w:rsidP="00634A2C">
            <w:pPr>
              <w:ind w:firstLine="0"/>
              <w:jc w:val="center"/>
              <w:rPr>
                <w:rFonts w:ascii="Verdana" w:eastAsia="Times New Roman" w:hAnsi="Verdana" w:cs="Times New Roman"/>
                <w:color w:val="000000"/>
                <w:sz w:val="18"/>
                <w:szCs w:val="18"/>
                <w:lang w:val="es-ES" w:eastAsia="es-ES"/>
              </w:rPr>
            </w:pPr>
            <w:r w:rsidRPr="00634A2C">
              <w:rPr>
                <w:rFonts w:ascii="Verdana" w:eastAsia="Times New Roman" w:hAnsi="Verdana" w:cs="Times New Roman"/>
                <w:color w:val="000000"/>
                <w:sz w:val="18"/>
                <w:szCs w:val="18"/>
                <w:lang w:val="es-ES" w:eastAsia="es-ES"/>
              </w:rPr>
              <w:t>14</w:t>
            </w:r>
          </w:p>
        </w:tc>
      </w:tr>
      <w:tr w:rsidR="00634A2C" w:rsidRPr="00634A2C" w:rsidTr="00634A2C">
        <w:trPr>
          <w:trHeight w:val="424"/>
          <w:tblCellSpacing w:w="15" w:type="dxa"/>
        </w:trPr>
        <w:tc>
          <w:tcPr>
            <w:tcW w:w="1291" w:type="dxa"/>
            <w:tcBorders>
              <w:top w:val="outset" w:sz="6" w:space="0" w:color="auto"/>
              <w:left w:val="outset" w:sz="6" w:space="0" w:color="auto"/>
              <w:bottom w:val="single" w:sz="6" w:space="0" w:color="666666"/>
              <w:right w:val="outset" w:sz="6" w:space="0" w:color="auto"/>
            </w:tcBorders>
            <w:shd w:val="clear" w:color="auto" w:fill="FFFFFF"/>
            <w:hideMark/>
          </w:tcPr>
          <w:p w:rsidR="00634A2C" w:rsidRPr="00634A2C" w:rsidRDefault="00634A2C" w:rsidP="00634A2C">
            <w:pPr>
              <w:ind w:firstLine="0"/>
              <w:jc w:val="center"/>
              <w:rPr>
                <w:rFonts w:ascii="Verdana" w:eastAsia="Times New Roman" w:hAnsi="Verdana" w:cs="Times New Roman"/>
                <w:color w:val="000000"/>
                <w:sz w:val="18"/>
                <w:szCs w:val="18"/>
                <w:lang w:val="es-ES" w:eastAsia="es-ES"/>
              </w:rPr>
            </w:pPr>
            <w:r w:rsidRPr="00634A2C">
              <w:rPr>
                <w:rFonts w:ascii="Verdana" w:eastAsia="Times New Roman" w:hAnsi="Verdana" w:cs="Times New Roman"/>
                <w:color w:val="000000"/>
                <w:sz w:val="18"/>
                <w:szCs w:val="18"/>
                <w:lang w:val="es-ES" w:eastAsia="es-ES"/>
              </w:rPr>
              <w:t>8430.49.20</w:t>
            </w:r>
          </w:p>
        </w:tc>
        <w:tc>
          <w:tcPr>
            <w:tcW w:w="6793" w:type="dxa"/>
            <w:tcBorders>
              <w:top w:val="outset" w:sz="6" w:space="0" w:color="auto"/>
              <w:left w:val="outset" w:sz="6" w:space="0" w:color="auto"/>
              <w:bottom w:val="single" w:sz="6" w:space="0" w:color="666666"/>
              <w:right w:val="outset" w:sz="6" w:space="0" w:color="auto"/>
            </w:tcBorders>
            <w:shd w:val="clear" w:color="auto" w:fill="FFFFFF"/>
            <w:hideMark/>
          </w:tcPr>
          <w:p w:rsidR="00634A2C" w:rsidRPr="00634A2C" w:rsidRDefault="00634A2C" w:rsidP="00634A2C">
            <w:pPr>
              <w:ind w:firstLine="0"/>
              <w:jc w:val="center"/>
              <w:rPr>
                <w:rFonts w:ascii="Verdana" w:eastAsia="Times New Roman" w:hAnsi="Verdana" w:cs="Times New Roman"/>
                <w:color w:val="000000"/>
                <w:sz w:val="18"/>
                <w:szCs w:val="18"/>
                <w:lang w:val="es-ES" w:eastAsia="es-ES"/>
              </w:rPr>
            </w:pPr>
            <w:r w:rsidRPr="00634A2C">
              <w:rPr>
                <w:rFonts w:ascii="Verdana" w:eastAsia="Times New Roman" w:hAnsi="Verdana" w:cs="Times New Roman"/>
                <w:color w:val="000000"/>
                <w:sz w:val="18"/>
                <w:szCs w:val="18"/>
                <w:lang w:val="es-ES" w:eastAsia="es-ES"/>
              </w:rPr>
              <w:t>0</w:t>
            </w:r>
          </w:p>
        </w:tc>
      </w:tr>
      <w:tr w:rsidR="00634A2C" w:rsidRPr="00634A2C" w:rsidTr="00634A2C">
        <w:trPr>
          <w:trHeight w:val="225"/>
          <w:tblCellSpacing w:w="15" w:type="dxa"/>
        </w:trPr>
        <w:tc>
          <w:tcPr>
            <w:tcW w:w="1291" w:type="dxa"/>
            <w:tcBorders>
              <w:top w:val="outset" w:sz="6" w:space="0" w:color="auto"/>
              <w:left w:val="outset" w:sz="6" w:space="0" w:color="auto"/>
              <w:bottom w:val="single" w:sz="6" w:space="0" w:color="666666"/>
              <w:right w:val="outset" w:sz="6" w:space="0" w:color="auto"/>
            </w:tcBorders>
            <w:shd w:val="clear" w:color="auto" w:fill="FFFFFF"/>
            <w:hideMark/>
          </w:tcPr>
          <w:p w:rsidR="00634A2C" w:rsidRPr="00634A2C" w:rsidRDefault="00634A2C" w:rsidP="00634A2C">
            <w:pPr>
              <w:ind w:firstLine="0"/>
              <w:jc w:val="center"/>
              <w:rPr>
                <w:rFonts w:ascii="Verdana" w:eastAsia="Times New Roman" w:hAnsi="Verdana" w:cs="Times New Roman"/>
                <w:color w:val="000000"/>
                <w:sz w:val="18"/>
                <w:szCs w:val="18"/>
                <w:lang w:val="es-ES" w:eastAsia="es-ES"/>
              </w:rPr>
            </w:pPr>
            <w:r w:rsidRPr="00634A2C">
              <w:rPr>
                <w:rFonts w:ascii="Verdana" w:eastAsia="Times New Roman" w:hAnsi="Verdana" w:cs="Times New Roman"/>
                <w:color w:val="000000"/>
                <w:sz w:val="18"/>
                <w:szCs w:val="18"/>
                <w:lang w:val="es-ES" w:eastAsia="es-ES"/>
              </w:rPr>
              <w:t>9406.00.92</w:t>
            </w:r>
          </w:p>
        </w:tc>
        <w:tc>
          <w:tcPr>
            <w:tcW w:w="6793" w:type="dxa"/>
            <w:tcBorders>
              <w:top w:val="outset" w:sz="6" w:space="0" w:color="auto"/>
              <w:left w:val="outset" w:sz="6" w:space="0" w:color="auto"/>
              <w:bottom w:val="single" w:sz="6" w:space="0" w:color="666666"/>
              <w:right w:val="outset" w:sz="6" w:space="0" w:color="auto"/>
            </w:tcBorders>
            <w:shd w:val="clear" w:color="auto" w:fill="FFFFFF"/>
            <w:hideMark/>
          </w:tcPr>
          <w:p w:rsidR="00634A2C" w:rsidRPr="00634A2C" w:rsidRDefault="00634A2C" w:rsidP="00634A2C">
            <w:pPr>
              <w:ind w:firstLine="0"/>
              <w:jc w:val="center"/>
              <w:rPr>
                <w:rFonts w:ascii="Verdana" w:eastAsia="Times New Roman" w:hAnsi="Verdana" w:cs="Times New Roman"/>
                <w:color w:val="000000"/>
                <w:sz w:val="18"/>
                <w:szCs w:val="18"/>
                <w:lang w:val="es-ES" w:eastAsia="es-ES"/>
              </w:rPr>
            </w:pPr>
            <w:r w:rsidRPr="00634A2C">
              <w:rPr>
                <w:rFonts w:ascii="Verdana" w:eastAsia="Times New Roman" w:hAnsi="Verdana" w:cs="Times New Roman"/>
                <w:color w:val="000000"/>
                <w:sz w:val="18"/>
                <w:szCs w:val="18"/>
                <w:lang w:val="es-ES" w:eastAsia="es-ES"/>
              </w:rPr>
              <w:t>14</w:t>
            </w:r>
          </w:p>
        </w:tc>
      </w:tr>
    </w:tbl>
    <w:p w:rsidR="00634A2C" w:rsidRPr="00634A2C" w:rsidRDefault="00634A2C" w:rsidP="00634A2C">
      <w:pPr>
        <w:ind w:firstLine="0"/>
        <w:rPr>
          <w:rFonts w:ascii="Verdana" w:eastAsia="Times New Roman" w:hAnsi="Verdana" w:cs="Times New Roman"/>
          <w:sz w:val="18"/>
          <w:szCs w:val="18"/>
          <w:lang w:val="es-ES" w:eastAsia="es-ES"/>
        </w:rPr>
      </w:pPr>
    </w:p>
    <w:p w:rsidR="00C84597" w:rsidRDefault="00634A2C"/>
    <w:sectPr w:rsidR="00C84597" w:rsidSect="00761A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4A2C"/>
    <w:rsid w:val="0015317B"/>
    <w:rsid w:val="0019454C"/>
    <w:rsid w:val="003548BD"/>
    <w:rsid w:val="00356235"/>
    <w:rsid w:val="00580F04"/>
    <w:rsid w:val="00634A2C"/>
    <w:rsid w:val="007471AE"/>
    <w:rsid w:val="00761AE2"/>
    <w:rsid w:val="007F2B7A"/>
    <w:rsid w:val="00B22F05"/>
    <w:rsid w:val="00C115A4"/>
    <w:rsid w:val="00C753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firstLine="198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E2"/>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634A2C"/>
  </w:style>
</w:styles>
</file>

<file path=word/webSettings.xml><?xml version="1.0" encoding="utf-8"?>
<w:webSettings xmlns:r="http://schemas.openxmlformats.org/officeDocument/2006/relationships" xmlns:w="http://schemas.openxmlformats.org/wordprocessingml/2006/main">
  <w:divs>
    <w:div w:id="13347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1013</Words>
  <Characters>5576</Characters>
  <Application>Microsoft Office Word</Application>
  <DocSecurity>0</DocSecurity>
  <Lines>46</Lines>
  <Paragraphs>13</Paragraphs>
  <ScaleCrop>false</ScaleCrop>
  <Company>ADIMRA</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dc:creator>
  <cp:keywords/>
  <dc:description/>
  <cp:lastModifiedBy>Aldo</cp:lastModifiedBy>
  <cp:revision>1</cp:revision>
  <dcterms:created xsi:type="dcterms:W3CDTF">2013-10-21T16:14:00Z</dcterms:created>
  <dcterms:modified xsi:type="dcterms:W3CDTF">2013-10-21T16:18:00Z</dcterms:modified>
</cp:coreProperties>
</file>