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rStyle w:val="Textoennegrita"/>
          <w:lang w:val="es-ES"/>
        </w:rPr>
        <w:t>DIVISIÓN ADUANA DE LA PLATA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rStyle w:val="Textoennegrita"/>
          <w:lang w:val="es-ES"/>
        </w:rPr>
        <w:t>Disposición Nº 507/2012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rStyle w:val="nfasis"/>
          <w:b/>
          <w:bCs/>
          <w:lang w:val="es-ES"/>
        </w:rPr>
        <w:t>Nota: Publicada nuevamente en el Boletín Oficial del 28/01/2013.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Ensenada, 20 de Noviembre de 2012.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 xml:space="preserve">VISTO lo dispuesto en la </w:t>
      </w:r>
      <w:hyperlink r:id="rId4" w:history="1">
        <w:r w:rsidRPr="00B7576B">
          <w:rPr>
            <w:rStyle w:val="Hipervnculo"/>
            <w:lang w:val="es-ES"/>
          </w:rPr>
          <w:t>Resolución General AFIP Nº 2435/08</w:t>
        </w:r>
      </w:hyperlink>
      <w:r w:rsidRPr="00B7576B">
        <w:rPr>
          <w:lang w:val="es-ES"/>
        </w:rPr>
        <w:t xml:space="preserve"> y su modificatoria </w:t>
      </w:r>
      <w:hyperlink r:id="rId5" w:history="1">
        <w:r w:rsidRPr="00B7576B">
          <w:rPr>
            <w:rStyle w:val="Hipervnculo"/>
            <w:lang w:val="es-ES"/>
          </w:rPr>
          <w:t>Resolución General Nº 2577/09</w:t>
        </w:r>
      </w:hyperlink>
      <w:r w:rsidRPr="00B7576B">
        <w:rPr>
          <w:lang w:val="es-ES"/>
        </w:rPr>
        <w:t>, y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CONSIDERANDO: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Que mediante la citada norma se estableció la operatoria para el régimen general de constitución, prórroga, sustitución, ampliación y extinción de garantías a favor de esta Administración Federal.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Que en su artículo 11º dicha Resolución General determina el procedimiento a seguir cuando los responsables no concurrieran a retirar las garantías liberadas y puestas a disposición.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Que luego de transcurridos sesenta (60) días hábiles administrativos, contados desde el cumplimiento íntegro de la obligación, sus accesorios o en su caso, los regímenes y operaciones garantizados y no habiéndose presentado por parte del administrado la solicitud de devolución de las garantías oportunamente constituidas con motivo de estas operaciones, corresponde el archivo de oficio de las garantías relacionadas a las destinaciones canceladas.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Que la presente se encuadra en las tareas de regularización de las garantías SIM que se encuentran liberadas.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POR ELLO, y en uso de las facultades conferidas,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lang w:val="es-ES"/>
        </w:rPr>
        <w:t>LA ADMINISTRADORA DE LA DIVISION ADUANA DE LA PLATA</w:t>
      </w:r>
      <w:r w:rsidRPr="00B7576B">
        <w:rPr>
          <w:lang w:val="es-ES"/>
        </w:rPr>
        <w:br/>
        <w:t>DISPONE: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rStyle w:val="Textoennegrita"/>
          <w:lang w:val="es-ES"/>
        </w:rPr>
        <w:t>ARTICULO 1º —</w:t>
      </w:r>
      <w:r w:rsidRPr="00B7576B">
        <w:rPr>
          <w:lang w:val="es-ES"/>
        </w:rPr>
        <w:t xml:space="preserve"> Archívense de Oficio las garantías detalladas en el Anexo que forma parte de la presente.</w:t>
      </w:r>
    </w:p>
    <w:p w:rsidR="00B7576B" w:rsidRPr="00B7576B" w:rsidRDefault="00B7576B" w:rsidP="00B7576B">
      <w:pPr>
        <w:pStyle w:val="NormalWeb"/>
        <w:rPr>
          <w:lang w:val="es-ES"/>
        </w:rPr>
      </w:pPr>
      <w:proofErr w:type="gramStart"/>
      <w:r w:rsidRPr="00B7576B">
        <w:rPr>
          <w:rStyle w:val="Textoennegrita"/>
          <w:lang w:val="es-ES"/>
        </w:rPr>
        <w:t>ARTICULO</w:t>
      </w:r>
      <w:proofErr w:type="gramEnd"/>
      <w:r w:rsidRPr="00B7576B">
        <w:rPr>
          <w:rStyle w:val="Textoennegrita"/>
          <w:lang w:val="es-ES"/>
        </w:rPr>
        <w:t xml:space="preserve"> 2º —</w:t>
      </w:r>
      <w:r w:rsidRPr="00B7576B">
        <w:rPr>
          <w:lang w:val="es-ES"/>
        </w:rPr>
        <w:t xml:space="preserve"> Las citadas garantías quedan a disposición para ser retiradas por parte de los interesados, bajo apercibimiento de que si dentro de los treinta (30) días hábiles administrativos contados a partir de la publicación de la presente, no se hace efectivo el correspondiente retiro, se procederá a la baja del sistema y a la destrucción de los valores documentados.</w:t>
      </w:r>
    </w:p>
    <w:p w:rsidR="00B7576B" w:rsidRPr="00B7576B" w:rsidRDefault="00B7576B" w:rsidP="00B7576B">
      <w:pPr>
        <w:pStyle w:val="NormalWeb"/>
        <w:rPr>
          <w:lang w:val="es-ES"/>
        </w:rPr>
      </w:pPr>
      <w:r w:rsidRPr="00B7576B">
        <w:rPr>
          <w:rStyle w:val="Textoennegrita"/>
          <w:lang w:val="es-ES"/>
        </w:rPr>
        <w:lastRenderedPageBreak/>
        <w:t>ARTICULO 3º —</w:t>
      </w:r>
      <w:r w:rsidRPr="00B7576B">
        <w:rPr>
          <w:lang w:val="es-ES"/>
        </w:rPr>
        <w:t xml:space="preserve"> Regístrese. Remítase copia a la Sección Administrativa de la División Aduana La Plata. Publíquese en el Boletín Oficial. Cumplido, archívese. — Lic. SILVIA N. PISANU, Administrador (I), División Aduana La Plata.</w:t>
      </w:r>
    </w:p>
    <w:p w:rsidR="005A6C44" w:rsidRDefault="00B7576B">
      <w:pPr>
        <w:rPr>
          <w:lang w:val="es-ES"/>
        </w:rPr>
      </w:pPr>
      <w:r>
        <w:rPr>
          <w:noProof/>
        </w:rPr>
        <w:drawing>
          <wp:inline distT="0" distB="0" distL="0" distR="0">
            <wp:extent cx="5612130" cy="7310482"/>
            <wp:effectExtent l="19050" t="0" r="7620" b="0"/>
            <wp:docPr id="1" name="Imagen 1" descr="http://www.tarifar.com/tarifar/temp/images/N28159I59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ifar.com/tarifar/temp/images/N28159I59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6B" w:rsidRPr="00B7576B" w:rsidRDefault="00B757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612130" cy="7310482"/>
            <wp:effectExtent l="19050" t="0" r="7620" b="0"/>
            <wp:docPr id="4" name="Imagen 4" descr="http://www.tarifar.com/tarifar/temp/images/N28159I5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rifar.com/tarifar/temp/images/N28159I59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76B" w:rsidRPr="00B7576B" w:rsidSect="005A6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576B"/>
    <w:rsid w:val="005A6C44"/>
    <w:rsid w:val="00B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576B"/>
    <w:rPr>
      <w:b/>
      <w:bCs/>
    </w:rPr>
  </w:style>
  <w:style w:type="character" w:styleId="nfasis">
    <w:name w:val="Emphasis"/>
    <w:basedOn w:val="Fuentedeprrafopredeter"/>
    <w:uiPriority w:val="20"/>
    <w:qFormat/>
    <w:rsid w:val="00B7576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757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tarifar.com/tarifar/biblioteca/legislacion/showLeg.jsp?idLey=28159" TargetMode="External"/><Relationship Id="rId4" Type="http://schemas.openxmlformats.org/officeDocument/2006/relationships/hyperlink" Target="http://www.tarifar.com/tarifar/biblioteca/legislacion/showLeg.jsp?idLey=281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0</DocSecurity>
  <Lines>15</Lines>
  <Paragraphs>4</Paragraphs>
  <ScaleCrop>false</ScaleCrop>
  <Company>ADIMRA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2013-02-01T15:25:00Z</dcterms:created>
  <dcterms:modified xsi:type="dcterms:W3CDTF">2013-02-01T15:26:00Z</dcterms:modified>
</cp:coreProperties>
</file>