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rStyle w:val="Textoennegrita"/>
          <w:lang w:val="es-ES"/>
        </w:rPr>
        <w:t>DIRECCIÓN GENERAL DE ADUANAS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rStyle w:val="Textoennegrita"/>
          <w:lang w:val="es-ES"/>
        </w:rPr>
        <w:t>Instrucción General N° 12/2013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Buenos Aires, 9 de Octubre de 2013.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A. INTRODUCCION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 xml:space="preserve">Con el objeto de optimizar el trámite de liquidación y autorización de los Reintegros de Exportación de las operaciones documentadas por los Grandes Operadores incorporados a los Regímenes de Aduanas Domiciliarias/Factorías, y teniendo en cuenta que mediante la </w:t>
      </w:r>
      <w:hyperlink r:id="rId4" w:history="1">
        <w:r w:rsidRPr="005C220D">
          <w:rPr>
            <w:rStyle w:val="Hipervnculo"/>
            <w:color w:val="auto"/>
            <w:u w:val="none"/>
            <w:lang w:val="es-ES"/>
          </w:rPr>
          <w:t>Resolución General 671</w:t>
        </w:r>
      </w:hyperlink>
      <w:r w:rsidRPr="005C220D">
        <w:rPr>
          <w:lang w:val="es-ES"/>
        </w:rPr>
        <w:t xml:space="preserve"> (AFIP) se regulan las operaciones de los mencionados usuarios que se efectúen en las Aduanas Domiciliarias/Factorías, se considera oportuno fijar la realización de los trámites de liquidación y autorización de los Reintegros de Exportación en cada una de las Aduanas Domiciliarias/Factorías.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B. OBJETIVO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Liquidar y autorizar los Reintegros de Exportación de los Grandes Operadores en el ámbito de la Aduana Domiciliaria/Factoría donde hubiera documentado la operación, mediante los Regímenes de Aduana Domiciliaria/Factoría.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C. ALCANCE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La presente Instrucción General será de aplicación en el ámbito de la Dirección General de Aduanas para todos los Operadores Aduaneros habilitados bajo los Regímenes de Aduanas Domiciliarias/Factorías.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D. ÁREAS INTERVINIENTES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• Aduanas Domiciliarias</w:t>
      </w:r>
      <w:r w:rsidRPr="005C220D">
        <w:rPr>
          <w:lang w:val="es-ES"/>
        </w:rPr>
        <w:br/>
        <w:t>• Aduanas Factorías</w:t>
      </w:r>
      <w:r w:rsidRPr="005C220D">
        <w:rPr>
          <w:lang w:val="es-ES"/>
        </w:rPr>
        <w:br/>
        <w:t>• Aduanas de Jurisdicción correspondiente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E. PROCEDIMIENTO OPERATIVO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• Cada Aduana Domiciliaria/Factoría efectuará la autorización del pago de los Reintegros de Exportación correspondiente a las destinaciones documentadas por los Grandes Operadores y oficializadas en dicha Aduana Domiciliaria, al amparo de los Regímenes de Aduanas Domiciliarias/Factorías, contando con el Reporte emitido por el Sistema Informático María rubricado y estableciendo los controles internos que se estime corresponder.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 xml:space="preserve">• Las Aduanas de Jurisdicción correspondientes a cada una de las Aduana Domiciliarias/Factorías deberán rubricar los reportes que contengan las destinaciones de </w:t>
      </w:r>
      <w:r w:rsidRPr="005C220D">
        <w:rPr>
          <w:lang w:val="es-ES"/>
        </w:rPr>
        <w:lastRenderedPageBreak/>
        <w:t>Exportación con Reintegros documentadas por los Grandes Operadores correspondientes al Régimen General.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• En los casos de las Aduanas de Jurisdicción que no poseen Aduana Domiciliaria/Factoría deberán rubricar los reportes correspondientes a los Reintegros de las destinaciones documentadas por los Grandes Operadores correspondientes al Régimen de Aduanas Domiciliarias/Factoría.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• A partir de la aprobación del presente procedimiento y con carácter selectivo, sin perjuicio de los controles que efectúen las áreas competentes de las Subdirecciones Generales de Operaciones Aduaneras del Interior y de Metropolitanas, el Departamento Grandes Operadores dependiente de la Subdirección General de Control Aduanero, efectuará los monitoreos que considere oportunos del esquema de los Reintegros de Exportación comunicando tal situación a las áreas antes mencionadas.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VIGENCIA</w:t>
      </w:r>
    </w:p>
    <w:p w:rsidR="005C220D" w:rsidRPr="005C220D" w:rsidRDefault="005C220D" w:rsidP="005C220D">
      <w:pPr>
        <w:pStyle w:val="NormalWeb"/>
        <w:rPr>
          <w:lang w:val="es-ES"/>
        </w:rPr>
      </w:pPr>
      <w:r w:rsidRPr="005C220D">
        <w:rPr>
          <w:lang w:val="es-ES"/>
        </w:rPr>
        <w:t>La presente Instrucción General será de aplicación a partir de la fecha de su dictado.</w:t>
      </w:r>
    </w:p>
    <w:p w:rsidR="00816113" w:rsidRDefault="00816113"/>
    <w:sectPr w:rsidR="00816113" w:rsidSect="00816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20D"/>
    <w:rsid w:val="001C0912"/>
    <w:rsid w:val="005C220D"/>
    <w:rsid w:val="0081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1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C220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C2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rifar.com/tarifar/biblioteca/legislacion/showLeg.jsp?idLey=296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>ADIMRA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2013-11-13T16:37:00Z</dcterms:created>
  <dcterms:modified xsi:type="dcterms:W3CDTF">2013-11-13T16:38:00Z</dcterms:modified>
</cp:coreProperties>
</file>