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top w:w="30" w:type="dxa"/>
          <w:left w:w="30" w:type="dxa"/>
          <w:bottom w:w="30" w:type="dxa"/>
          <w:right w:w="30" w:type="dxa"/>
        </w:tblCellMar>
        <w:tblLook w:val="04A0"/>
      </w:tblPr>
      <w:tblGrid>
        <w:gridCol w:w="1650"/>
        <w:gridCol w:w="551"/>
        <w:gridCol w:w="887"/>
        <w:gridCol w:w="5838"/>
      </w:tblGrid>
      <w:tr w:rsidR="00B9305B" w:rsidRPr="00B9305B" w:rsidTr="00B9305B">
        <w:trPr>
          <w:tblCellSpacing w:w="7" w:type="dxa"/>
        </w:trPr>
        <w:tc>
          <w:tcPr>
            <w:tcW w:w="0" w:type="auto"/>
            <w:shd w:val="clear" w:color="auto" w:fill="FAF4FC"/>
            <w:vAlign w:val="center"/>
            <w:hideMark/>
          </w:tcPr>
          <w:p w:rsidR="00B9305B" w:rsidRPr="00B9305B" w:rsidRDefault="00B9305B" w:rsidP="00B9305B">
            <w:pPr>
              <w:jc w:val="left"/>
              <w:rPr>
                <w:rFonts w:ascii="Tahoma" w:eastAsia="Times New Roman" w:hAnsi="Tahoma" w:cs="Tahoma"/>
                <w:b/>
                <w:bCs/>
                <w:color w:val="9C3A9C"/>
                <w:sz w:val="17"/>
                <w:szCs w:val="17"/>
                <w:lang w:eastAsia="es-AR"/>
              </w:rPr>
            </w:pPr>
            <w:r w:rsidRPr="00B9305B">
              <w:rPr>
                <w:rFonts w:ascii="Tahoma" w:eastAsia="Times New Roman" w:hAnsi="Tahoma" w:cs="Tahoma"/>
                <w:b/>
                <w:bCs/>
                <w:color w:val="9C3A9C"/>
                <w:sz w:val="17"/>
                <w:szCs w:val="17"/>
                <w:lang w:eastAsia="es-AR"/>
              </w:rPr>
              <w:t>Tipo: </w:t>
            </w:r>
            <w:r w:rsidRPr="00B9305B">
              <w:rPr>
                <w:rFonts w:ascii="Tahoma" w:eastAsia="Times New Roman" w:hAnsi="Tahoma" w:cs="Tahoma"/>
                <w:color w:val="333333"/>
                <w:sz w:val="17"/>
                <w:szCs w:val="17"/>
                <w:lang w:eastAsia="es-AR"/>
              </w:rPr>
              <w:t>INSTRUCCION GENERAL</w:t>
            </w:r>
          </w:p>
        </w:tc>
        <w:tc>
          <w:tcPr>
            <w:tcW w:w="0" w:type="auto"/>
            <w:shd w:val="clear" w:color="auto" w:fill="FAF4FC"/>
            <w:vAlign w:val="center"/>
            <w:hideMark/>
          </w:tcPr>
          <w:p w:rsidR="00B9305B" w:rsidRPr="00B9305B" w:rsidRDefault="00B9305B" w:rsidP="00B9305B">
            <w:pPr>
              <w:jc w:val="left"/>
              <w:rPr>
                <w:rFonts w:ascii="Tahoma" w:eastAsia="Times New Roman" w:hAnsi="Tahoma" w:cs="Tahoma"/>
                <w:b/>
                <w:bCs/>
                <w:color w:val="9C3A9C"/>
                <w:sz w:val="17"/>
                <w:szCs w:val="17"/>
                <w:lang w:eastAsia="es-AR"/>
              </w:rPr>
            </w:pPr>
            <w:r w:rsidRPr="00B9305B">
              <w:rPr>
                <w:rFonts w:ascii="Tahoma" w:eastAsia="Times New Roman" w:hAnsi="Tahoma" w:cs="Tahoma"/>
                <w:b/>
                <w:bCs/>
                <w:color w:val="9C3A9C"/>
                <w:sz w:val="17"/>
                <w:szCs w:val="17"/>
                <w:lang w:eastAsia="es-AR"/>
              </w:rPr>
              <w:t> Nº: </w:t>
            </w:r>
            <w:r w:rsidRPr="00B9305B">
              <w:rPr>
                <w:rFonts w:ascii="Tahoma" w:eastAsia="Times New Roman" w:hAnsi="Tahoma" w:cs="Tahoma"/>
                <w:color w:val="333333"/>
                <w:sz w:val="17"/>
                <w:szCs w:val="17"/>
                <w:lang w:eastAsia="es-AR"/>
              </w:rPr>
              <w:t>5</w:t>
            </w:r>
          </w:p>
        </w:tc>
        <w:tc>
          <w:tcPr>
            <w:tcW w:w="0" w:type="auto"/>
            <w:shd w:val="clear" w:color="auto" w:fill="FAF4FC"/>
            <w:vAlign w:val="center"/>
            <w:hideMark/>
          </w:tcPr>
          <w:p w:rsidR="00B9305B" w:rsidRPr="00B9305B" w:rsidRDefault="00B9305B" w:rsidP="00B9305B">
            <w:pPr>
              <w:jc w:val="left"/>
              <w:rPr>
                <w:rFonts w:ascii="Tahoma" w:eastAsia="Times New Roman" w:hAnsi="Tahoma" w:cs="Tahoma"/>
                <w:b/>
                <w:bCs/>
                <w:color w:val="9C3A9C"/>
                <w:sz w:val="17"/>
                <w:szCs w:val="17"/>
                <w:lang w:eastAsia="es-AR"/>
              </w:rPr>
            </w:pPr>
            <w:r w:rsidRPr="00B9305B">
              <w:rPr>
                <w:rFonts w:ascii="Tahoma" w:eastAsia="Times New Roman" w:hAnsi="Tahoma" w:cs="Tahoma"/>
                <w:b/>
                <w:bCs/>
                <w:color w:val="9C3A9C"/>
                <w:sz w:val="17"/>
                <w:szCs w:val="17"/>
                <w:lang w:eastAsia="es-AR"/>
              </w:rPr>
              <w:t>Año:</w:t>
            </w:r>
            <w:r w:rsidRPr="00B9305B">
              <w:rPr>
                <w:rFonts w:ascii="Tahoma" w:eastAsia="Times New Roman" w:hAnsi="Tahoma" w:cs="Tahoma"/>
                <w:b/>
                <w:bCs/>
                <w:color w:val="9C3A9C"/>
                <w:sz w:val="17"/>
                <w:lang w:eastAsia="es-AR"/>
              </w:rPr>
              <w:t> </w:t>
            </w:r>
            <w:r w:rsidRPr="00B9305B">
              <w:rPr>
                <w:rFonts w:ascii="Tahoma" w:eastAsia="Times New Roman" w:hAnsi="Tahoma" w:cs="Tahoma"/>
                <w:color w:val="333333"/>
                <w:sz w:val="17"/>
                <w:szCs w:val="17"/>
                <w:lang w:eastAsia="es-AR"/>
              </w:rPr>
              <w:t>2016</w:t>
            </w:r>
          </w:p>
        </w:tc>
        <w:tc>
          <w:tcPr>
            <w:tcW w:w="6750" w:type="dxa"/>
            <w:shd w:val="clear" w:color="auto" w:fill="FAF4FC"/>
            <w:vAlign w:val="center"/>
            <w:hideMark/>
          </w:tcPr>
          <w:p w:rsidR="00B9305B" w:rsidRPr="00B9305B" w:rsidRDefault="00B9305B" w:rsidP="00B9305B">
            <w:pPr>
              <w:jc w:val="right"/>
              <w:rPr>
                <w:rFonts w:ascii="Tahoma" w:eastAsia="Times New Roman" w:hAnsi="Tahoma" w:cs="Tahoma"/>
                <w:b/>
                <w:bCs/>
                <w:color w:val="9C3A9C"/>
                <w:sz w:val="17"/>
                <w:szCs w:val="17"/>
                <w:lang w:eastAsia="es-AR"/>
              </w:rPr>
            </w:pPr>
            <w:r w:rsidRPr="00B9305B">
              <w:rPr>
                <w:rFonts w:ascii="Tahoma" w:eastAsia="Times New Roman" w:hAnsi="Tahoma" w:cs="Tahoma"/>
                <w:b/>
                <w:bCs/>
                <w:color w:val="9C3A9C"/>
                <w:sz w:val="17"/>
                <w:szCs w:val="17"/>
                <w:lang w:eastAsia="es-AR"/>
              </w:rPr>
              <w:t>Organismo:</w:t>
            </w:r>
            <w:r w:rsidRPr="00B9305B">
              <w:rPr>
                <w:rFonts w:ascii="Tahoma" w:eastAsia="Times New Roman" w:hAnsi="Tahoma" w:cs="Tahoma"/>
                <w:b/>
                <w:bCs/>
                <w:color w:val="9C3A9C"/>
                <w:sz w:val="17"/>
                <w:lang w:eastAsia="es-AR"/>
              </w:rPr>
              <w:t> </w:t>
            </w:r>
            <w:r w:rsidRPr="00B9305B">
              <w:rPr>
                <w:rFonts w:ascii="Tahoma" w:eastAsia="Times New Roman" w:hAnsi="Tahoma" w:cs="Tahoma"/>
                <w:color w:val="333333"/>
                <w:sz w:val="17"/>
                <w:szCs w:val="17"/>
                <w:lang w:eastAsia="es-AR"/>
              </w:rPr>
              <w:t>Administración Federal de Ingresos Públicos</w:t>
            </w:r>
          </w:p>
        </w:tc>
      </w:tr>
    </w:tbl>
    <w:p w:rsidR="00B9305B" w:rsidRPr="00B9305B" w:rsidRDefault="00B9305B" w:rsidP="00B9305B">
      <w:pPr>
        <w:jc w:val="left"/>
        <w:rPr>
          <w:rFonts w:ascii="Times New Roman" w:eastAsia="Times New Roman" w:hAnsi="Times New Roman" w:cs="Times New Roman"/>
          <w:vanish/>
          <w:sz w:val="24"/>
          <w:szCs w:val="24"/>
          <w:lang w:eastAsia="es-AR"/>
        </w:rPr>
      </w:pPr>
    </w:p>
    <w:tbl>
      <w:tblPr>
        <w:tblW w:w="5000" w:type="pct"/>
        <w:tblCellSpacing w:w="0" w:type="dxa"/>
        <w:shd w:val="clear" w:color="auto" w:fill="FAF4FC"/>
        <w:tblCellMar>
          <w:top w:w="30" w:type="dxa"/>
          <w:left w:w="30" w:type="dxa"/>
          <w:bottom w:w="30" w:type="dxa"/>
          <w:right w:w="30" w:type="dxa"/>
        </w:tblCellMar>
        <w:tblLook w:val="04A0"/>
      </w:tblPr>
      <w:tblGrid>
        <w:gridCol w:w="4449"/>
        <w:gridCol w:w="4449"/>
      </w:tblGrid>
      <w:tr w:rsidR="00B9305B" w:rsidRPr="00B9305B" w:rsidTr="00B9305B">
        <w:trPr>
          <w:trHeight w:val="225"/>
          <w:tblCellSpacing w:w="0" w:type="dxa"/>
        </w:trPr>
        <w:tc>
          <w:tcPr>
            <w:tcW w:w="2500" w:type="pct"/>
            <w:shd w:val="clear" w:color="auto" w:fill="FAF4FC"/>
            <w:vAlign w:val="center"/>
            <w:hideMark/>
          </w:tcPr>
          <w:p w:rsidR="00B9305B" w:rsidRPr="00B9305B" w:rsidRDefault="00B9305B" w:rsidP="00B9305B">
            <w:pPr>
              <w:jc w:val="left"/>
              <w:rPr>
                <w:rFonts w:ascii="Tahoma" w:eastAsia="Times New Roman" w:hAnsi="Tahoma" w:cs="Tahoma"/>
                <w:b/>
                <w:bCs/>
                <w:color w:val="9C3A9C"/>
                <w:sz w:val="17"/>
                <w:szCs w:val="17"/>
                <w:lang w:eastAsia="es-AR"/>
              </w:rPr>
            </w:pPr>
            <w:r w:rsidRPr="00B9305B">
              <w:rPr>
                <w:rFonts w:ascii="Tahoma" w:eastAsia="Times New Roman" w:hAnsi="Tahoma" w:cs="Tahoma"/>
                <w:b/>
                <w:bCs/>
                <w:color w:val="9C3A9C"/>
                <w:sz w:val="17"/>
                <w:szCs w:val="17"/>
                <w:lang w:eastAsia="es-AR"/>
              </w:rPr>
              <w:t> </w:t>
            </w:r>
          </w:p>
        </w:tc>
        <w:tc>
          <w:tcPr>
            <w:tcW w:w="2500" w:type="pct"/>
            <w:shd w:val="clear" w:color="auto" w:fill="FAF4FC"/>
            <w:vAlign w:val="center"/>
            <w:hideMark/>
          </w:tcPr>
          <w:p w:rsidR="00B9305B" w:rsidRPr="00B9305B" w:rsidRDefault="00B9305B" w:rsidP="00B9305B">
            <w:pPr>
              <w:jc w:val="right"/>
              <w:rPr>
                <w:rFonts w:ascii="Tahoma" w:eastAsia="Times New Roman" w:hAnsi="Tahoma" w:cs="Tahoma"/>
                <w:b/>
                <w:bCs/>
                <w:color w:val="9C3A9C"/>
                <w:sz w:val="17"/>
                <w:szCs w:val="17"/>
                <w:lang w:eastAsia="es-AR"/>
              </w:rPr>
            </w:pPr>
            <w:r w:rsidRPr="00B9305B">
              <w:rPr>
                <w:rFonts w:ascii="Tahoma" w:eastAsia="Times New Roman" w:hAnsi="Tahoma" w:cs="Tahoma"/>
                <w:b/>
                <w:bCs/>
                <w:color w:val="9C3A9C"/>
                <w:sz w:val="17"/>
                <w:szCs w:val="17"/>
                <w:lang w:eastAsia="es-AR"/>
              </w:rPr>
              <w:t> </w:t>
            </w:r>
          </w:p>
        </w:tc>
      </w:tr>
    </w:tbl>
    <w:tbl>
      <w:tblPr>
        <w:tblpPr w:leftFromText="45" w:rightFromText="45" w:vertAnchor="text" w:tblpXSpec="right" w:tblpYSpec="center"/>
        <w:tblW w:w="0" w:type="auto"/>
        <w:tblCellSpacing w:w="15" w:type="dxa"/>
        <w:shd w:val="clear" w:color="auto" w:fill="FFFFFF"/>
        <w:tblCellMar>
          <w:top w:w="15" w:type="dxa"/>
          <w:left w:w="15" w:type="dxa"/>
          <w:bottom w:w="15" w:type="dxa"/>
          <w:right w:w="15" w:type="dxa"/>
        </w:tblCellMar>
        <w:tblLook w:val="04A0"/>
      </w:tblPr>
      <w:tblGrid>
        <w:gridCol w:w="329"/>
        <w:gridCol w:w="267"/>
      </w:tblGrid>
      <w:tr w:rsidR="00B9305B" w:rsidRPr="00B9305B" w:rsidTr="00B9305B">
        <w:trPr>
          <w:tblCellSpacing w:w="15" w:type="dxa"/>
        </w:trPr>
        <w:tc>
          <w:tcPr>
            <w:tcW w:w="0" w:type="auto"/>
            <w:shd w:val="clear" w:color="auto" w:fill="FFFFFF"/>
            <w:vAlign w:val="center"/>
            <w:hideMark/>
          </w:tcPr>
          <w:p w:rsidR="00B9305B" w:rsidRPr="00B9305B" w:rsidRDefault="00B9305B" w:rsidP="00B9305B">
            <w:pPr>
              <w:jc w:val="right"/>
              <w:rPr>
                <w:rFonts w:ascii="Times New Roman" w:eastAsia="Times New Roman" w:hAnsi="Times New Roman" w:cs="Times New Roman"/>
                <w:sz w:val="24"/>
                <w:szCs w:val="24"/>
                <w:lang w:eastAsia="es-AR"/>
              </w:rPr>
            </w:pPr>
            <w:hyperlink r:id="rId4" w:history="1">
              <w:r w:rsidRPr="00B9305B">
                <w:rPr>
                  <w:rFonts w:ascii="Tahoma" w:eastAsia="Times New Roman" w:hAnsi="Tahoma" w:cs="Tahoma"/>
                  <w:color w:val="002FAA"/>
                  <w:sz w:val="17"/>
                  <w:lang w:eastAsia="es-AR"/>
                </w:rPr>
                <w:t>[+]</w:t>
              </w:r>
            </w:hyperlink>
          </w:p>
        </w:tc>
        <w:tc>
          <w:tcPr>
            <w:tcW w:w="0" w:type="auto"/>
            <w:shd w:val="clear" w:color="auto" w:fill="FFFFFF"/>
            <w:vAlign w:val="center"/>
            <w:hideMark/>
          </w:tcPr>
          <w:p w:rsidR="00B9305B" w:rsidRPr="00B9305B" w:rsidRDefault="00B9305B" w:rsidP="00B9305B">
            <w:pPr>
              <w:jc w:val="left"/>
              <w:rPr>
                <w:rFonts w:ascii="Times New Roman" w:eastAsia="Times New Roman" w:hAnsi="Times New Roman" w:cs="Times New Roman"/>
                <w:sz w:val="24"/>
                <w:szCs w:val="24"/>
                <w:lang w:eastAsia="es-AR"/>
              </w:rPr>
            </w:pPr>
            <w:hyperlink r:id="rId5" w:history="1">
              <w:r w:rsidRPr="00B9305B">
                <w:rPr>
                  <w:rFonts w:ascii="Tahoma" w:eastAsia="Times New Roman" w:hAnsi="Tahoma" w:cs="Tahoma"/>
                  <w:color w:val="002FAA"/>
                  <w:sz w:val="17"/>
                  <w:lang w:eastAsia="es-AR"/>
                </w:rPr>
                <w:t>[-]</w:t>
              </w:r>
            </w:hyperlink>
          </w:p>
        </w:tc>
      </w:tr>
    </w:tbl>
    <w:p w:rsidR="00B9305B" w:rsidRPr="00B9305B" w:rsidRDefault="00B9305B" w:rsidP="00B9305B">
      <w:pPr>
        <w:jc w:val="left"/>
        <w:rPr>
          <w:rFonts w:ascii="Times New Roman" w:eastAsia="Times New Roman" w:hAnsi="Times New Roman" w:cs="Times New Roman"/>
          <w:sz w:val="24"/>
          <w:szCs w:val="24"/>
          <w:lang w:eastAsia="es-AR"/>
        </w:rPr>
      </w:pPr>
    </w:p>
    <w:tbl>
      <w:tblPr>
        <w:tblW w:w="0" w:type="auto"/>
        <w:tblCellSpacing w:w="15" w:type="dxa"/>
        <w:shd w:val="clear" w:color="auto" w:fill="FFFFFF"/>
        <w:tblCellMar>
          <w:top w:w="15" w:type="dxa"/>
          <w:left w:w="15" w:type="dxa"/>
          <w:bottom w:w="15" w:type="dxa"/>
          <w:right w:w="15" w:type="dxa"/>
        </w:tblCellMar>
        <w:tblLook w:val="04A0"/>
      </w:tblPr>
      <w:tblGrid>
        <w:gridCol w:w="645"/>
        <w:gridCol w:w="3060"/>
      </w:tblGrid>
      <w:tr w:rsidR="00B9305B" w:rsidRPr="00B9305B" w:rsidTr="00B9305B">
        <w:trPr>
          <w:tblCellSpacing w:w="15" w:type="dxa"/>
        </w:trPr>
        <w:tc>
          <w:tcPr>
            <w:tcW w:w="0" w:type="auto"/>
            <w:shd w:val="clear" w:color="auto" w:fill="FFFFFF"/>
            <w:vAlign w:val="center"/>
            <w:hideMark/>
          </w:tcPr>
          <w:p w:rsidR="00B9305B" w:rsidRPr="00B9305B" w:rsidRDefault="00B9305B" w:rsidP="00B9305B">
            <w:pPr>
              <w:jc w:val="left"/>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333375" cy="304800"/>
                  <wp:effectExtent l="19050" t="0" r="9525" b="0"/>
                  <wp:docPr id="1" name="Imagen 1" descr="http://www.tarifar.com/tarifar/biblioteca/img/botonera_barra/leg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ifar.com/tarifar/biblioteca/img/botonera_barra/leg_f2.gif"/>
                          <pic:cNvPicPr>
                            <a:picLocks noChangeAspect="1" noChangeArrowheads="1"/>
                          </pic:cNvPicPr>
                        </pic:nvPicPr>
                        <pic:blipFill>
                          <a:blip r:embed="rId6" cstate="print"/>
                          <a:srcRect/>
                          <a:stretch>
                            <a:fillRect/>
                          </a:stretch>
                        </pic:blipFill>
                        <pic:spPr bwMode="auto">
                          <a:xfrm>
                            <a:off x="0" y="0"/>
                            <a:ext cx="333375" cy="3048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B9305B" w:rsidRPr="00B9305B" w:rsidRDefault="00B9305B" w:rsidP="00B9305B">
            <w:pPr>
              <w:jc w:val="left"/>
              <w:rPr>
                <w:rFonts w:ascii="Times New Roman" w:eastAsia="Times New Roman" w:hAnsi="Times New Roman" w:cs="Times New Roman"/>
                <w:sz w:val="24"/>
                <w:szCs w:val="24"/>
                <w:lang w:eastAsia="es-AR"/>
              </w:rPr>
            </w:pPr>
            <w:r w:rsidRPr="00B9305B">
              <w:rPr>
                <w:rFonts w:ascii="Tahoma" w:eastAsia="Times New Roman" w:hAnsi="Tahoma" w:cs="Tahoma"/>
                <w:b/>
                <w:bCs/>
                <w:color w:val="606060"/>
                <w:sz w:val="27"/>
                <w:lang w:eastAsia="es-AR"/>
              </w:rPr>
              <w:t>INGRESO DE DIVISAS</w:t>
            </w:r>
          </w:p>
        </w:tc>
      </w:tr>
    </w:tbl>
    <w:p w:rsidR="00B9305B" w:rsidRPr="00B9305B" w:rsidRDefault="00B9305B" w:rsidP="00B9305B">
      <w:pPr>
        <w:jc w:val="left"/>
        <w:rPr>
          <w:rFonts w:ascii="Times New Roman" w:eastAsia="Times New Roman" w:hAnsi="Times New Roman" w:cs="Times New Roman"/>
          <w:sz w:val="24"/>
          <w:szCs w:val="24"/>
          <w:lang w:eastAsia="es-AR"/>
        </w:rPr>
      </w:pPr>
    </w:p>
    <w:tbl>
      <w:tblPr>
        <w:tblW w:w="4750" w:type="pct"/>
        <w:jc w:val="center"/>
        <w:tblCellSpacing w:w="15" w:type="dxa"/>
        <w:shd w:val="clear" w:color="auto" w:fill="FFFFFF"/>
        <w:tblCellMar>
          <w:top w:w="15" w:type="dxa"/>
          <w:left w:w="15" w:type="dxa"/>
          <w:bottom w:w="15" w:type="dxa"/>
          <w:right w:w="15" w:type="dxa"/>
        </w:tblCellMar>
        <w:tblLook w:val="04A0"/>
      </w:tblPr>
      <w:tblGrid>
        <w:gridCol w:w="8482"/>
      </w:tblGrid>
      <w:tr w:rsidR="00B9305B" w:rsidRPr="00B9305B" w:rsidTr="00B9305B">
        <w:trPr>
          <w:tblCellSpacing w:w="15" w:type="dxa"/>
          <w:jc w:val="center"/>
        </w:trPr>
        <w:tc>
          <w:tcPr>
            <w:tcW w:w="0" w:type="auto"/>
            <w:shd w:val="clear" w:color="auto" w:fill="FFFFFF"/>
            <w:vAlign w:val="center"/>
            <w:hideMark/>
          </w:tcPr>
          <w:p w:rsidR="00B9305B" w:rsidRPr="00B9305B" w:rsidRDefault="00B9305B" w:rsidP="00B9305B">
            <w:pPr>
              <w:jc w:val="left"/>
              <w:rPr>
                <w:rFonts w:ascii="Tahoma" w:eastAsia="Times New Roman" w:hAnsi="Tahoma" w:cs="Tahoma"/>
                <w:b/>
                <w:bCs/>
                <w:color w:val="575757"/>
                <w:sz w:val="17"/>
                <w:szCs w:val="17"/>
                <w:lang w:eastAsia="es-AR"/>
              </w:rPr>
            </w:pPr>
            <w:r w:rsidRPr="00B9305B">
              <w:rPr>
                <w:rFonts w:ascii="Tahoma" w:eastAsia="Times New Roman" w:hAnsi="Tahoma" w:cs="Tahoma"/>
                <w:b/>
                <w:bCs/>
                <w:color w:val="575757"/>
                <w:sz w:val="17"/>
                <w:szCs w:val="17"/>
                <w:lang w:eastAsia="es-AR"/>
              </w:rPr>
              <w:t>Se deroga la Instrucción General Nº 2/2012 DGA referente a los sumarios con respecto al ingreso de divisas en operaciones de exportación.</w:t>
            </w:r>
          </w:p>
        </w:tc>
      </w:tr>
    </w:tbl>
    <w:p w:rsidR="00B9305B" w:rsidRPr="00B9305B" w:rsidRDefault="00B9305B" w:rsidP="00B9305B">
      <w:pPr>
        <w:jc w:val="left"/>
        <w:rPr>
          <w:rFonts w:ascii="Times New Roman" w:eastAsia="Times New Roman" w:hAnsi="Times New Roman" w:cs="Times New Roman"/>
          <w:sz w:val="24"/>
          <w:szCs w:val="24"/>
          <w:lang w:eastAsia="es-AR"/>
        </w:rPr>
      </w:pPr>
    </w:p>
    <w:tbl>
      <w:tblPr>
        <w:tblW w:w="5000" w:type="pct"/>
        <w:tblCellSpacing w:w="0" w:type="dxa"/>
        <w:shd w:val="clear" w:color="auto" w:fill="FAF4FC"/>
        <w:tblCellMar>
          <w:left w:w="0" w:type="dxa"/>
          <w:right w:w="0" w:type="dxa"/>
        </w:tblCellMar>
        <w:tblLook w:val="04A0"/>
      </w:tblPr>
      <w:tblGrid>
        <w:gridCol w:w="8838"/>
      </w:tblGrid>
      <w:tr w:rsidR="00B9305B" w:rsidRPr="00B9305B" w:rsidTr="00B9305B">
        <w:trPr>
          <w:tblCellSpacing w:w="0" w:type="dxa"/>
        </w:trPr>
        <w:tc>
          <w:tcPr>
            <w:tcW w:w="0" w:type="auto"/>
            <w:shd w:val="clear" w:color="auto" w:fill="FAF4FC"/>
            <w:vAlign w:val="center"/>
            <w:hideMark/>
          </w:tcPr>
          <w:p w:rsidR="00B9305B" w:rsidRPr="00B9305B" w:rsidRDefault="00B9305B" w:rsidP="00B9305B">
            <w:pPr>
              <w:jc w:val="left"/>
              <w:rPr>
                <w:rFonts w:ascii="Tahoma" w:eastAsia="Times New Roman" w:hAnsi="Tahoma" w:cs="Tahoma"/>
                <w:b/>
                <w:bCs/>
                <w:color w:val="9C3A9C"/>
                <w:sz w:val="17"/>
                <w:szCs w:val="17"/>
                <w:lang w:eastAsia="es-AR"/>
              </w:rPr>
            </w:pPr>
            <w:r w:rsidRPr="00B9305B">
              <w:rPr>
                <w:rFonts w:ascii="Tahoma" w:eastAsia="Times New Roman" w:hAnsi="Tahoma" w:cs="Tahoma"/>
                <w:b/>
                <w:bCs/>
                <w:color w:val="9C3A9C"/>
                <w:sz w:val="17"/>
                <w:szCs w:val="17"/>
                <w:lang w:eastAsia="es-AR"/>
              </w:rPr>
              <w:t>Normas Relacionadas:</w:t>
            </w:r>
          </w:p>
        </w:tc>
      </w:tr>
    </w:tbl>
    <w:p w:rsidR="00B9305B" w:rsidRPr="00B9305B" w:rsidRDefault="00B9305B" w:rsidP="00B9305B">
      <w:pPr>
        <w:jc w:val="left"/>
        <w:rPr>
          <w:rFonts w:ascii="Times New Roman" w:eastAsia="Times New Roman" w:hAnsi="Times New Roman" w:cs="Times New Roman"/>
          <w:sz w:val="24"/>
          <w:szCs w:val="24"/>
          <w:lang w:eastAsia="es-AR"/>
        </w:rPr>
      </w:pPr>
      <w:hyperlink r:id="rId7" w:history="1">
        <w:r w:rsidRPr="00B9305B">
          <w:rPr>
            <w:rFonts w:ascii="Tahoma" w:eastAsia="Times New Roman" w:hAnsi="Tahoma" w:cs="Tahoma"/>
            <w:color w:val="002FAA"/>
            <w:sz w:val="17"/>
            <w:lang w:eastAsia="es-AR"/>
          </w:rPr>
          <w:t>Inst. Gral. DGA N° 7/2012</w:t>
        </w:r>
      </w:hyperlink>
      <w:r w:rsidRPr="00B9305B">
        <w:rPr>
          <w:rFonts w:ascii="Times New Roman" w:eastAsia="Times New Roman" w:hAnsi="Times New Roman" w:cs="Times New Roman"/>
          <w:color w:val="000000"/>
          <w:sz w:val="27"/>
          <w:szCs w:val="27"/>
          <w:lang w:eastAsia="es-AR"/>
        </w:rPr>
        <w:br/>
      </w:r>
      <w:hyperlink r:id="rId8" w:history="1">
        <w:r w:rsidRPr="00B9305B">
          <w:rPr>
            <w:rFonts w:ascii="Tahoma" w:eastAsia="Times New Roman" w:hAnsi="Tahoma" w:cs="Tahoma"/>
            <w:color w:val="002FAA"/>
            <w:sz w:val="17"/>
            <w:lang w:eastAsia="es-AR"/>
          </w:rPr>
          <w:t>C. A. PLN N° 994/1981</w:t>
        </w:r>
      </w:hyperlink>
      <w:r w:rsidRPr="00B9305B">
        <w:rPr>
          <w:rFonts w:ascii="Times New Roman" w:eastAsia="Times New Roman" w:hAnsi="Times New Roman" w:cs="Times New Roman"/>
          <w:color w:val="000000"/>
          <w:sz w:val="27"/>
          <w:szCs w:val="27"/>
          <w:lang w:eastAsia="es-AR"/>
        </w:rPr>
        <w:br/>
      </w:r>
    </w:p>
    <w:tbl>
      <w:tblPr>
        <w:tblW w:w="5000" w:type="pct"/>
        <w:tblCellSpacing w:w="0" w:type="dxa"/>
        <w:shd w:val="clear" w:color="auto" w:fill="FAF4FC"/>
        <w:tblCellMar>
          <w:left w:w="0" w:type="dxa"/>
          <w:right w:w="0" w:type="dxa"/>
        </w:tblCellMar>
        <w:tblLook w:val="04A0"/>
      </w:tblPr>
      <w:tblGrid>
        <w:gridCol w:w="8838"/>
      </w:tblGrid>
      <w:tr w:rsidR="00B9305B" w:rsidRPr="00B9305B" w:rsidTr="00B9305B">
        <w:trPr>
          <w:tblCellSpacing w:w="0" w:type="dxa"/>
        </w:trPr>
        <w:tc>
          <w:tcPr>
            <w:tcW w:w="0" w:type="auto"/>
            <w:shd w:val="clear" w:color="auto" w:fill="FAF4FC"/>
            <w:vAlign w:val="center"/>
            <w:hideMark/>
          </w:tcPr>
          <w:p w:rsidR="00B9305B" w:rsidRPr="00B9305B" w:rsidRDefault="00B9305B" w:rsidP="00B9305B">
            <w:pPr>
              <w:jc w:val="left"/>
              <w:rPr>
                <w:rFonts w:ascii="Tahoma" w:eastAsia="Times New Roman" w:hAnsi="Tahoma" w:cs="Tahoma"/>
                <w:b/>
                <w:bCs/>
                <w:color w:val="9C3A9C"/>
                <w:sz w:val="17"/>
                <w:szCs w:val="17"/>
                <w:lang w:eastAsia="es-AR"/>
              </w:rPr>
            </w:pPr>
            <w:r w:rsidRPr="00B9305B">
              <w:rPr>
                <w:rFonts w:ascii="Tahoma" w:eastAsia="Times New Roman" w:hAnsi="Tahoma" w:cs="Tahoma"/>
                <w:b/>
                <w:bCs/>
                <w:color w:val="9C3A9C"/>
                <w:sz w:val="17"/>
                <w:szCs w:val="17"/>
                <w:lang w:eastAsia="es-AR"/>
              </w:rPr>
              <w:t>Modifica a:</w:t>
            </w:r>
          </w:p>
        </w:tc>
      </w:tr>
    </w:tbl>
    <w:p w:rsidR="00B9305B" w:rsidRPr="00B9305B" w:rsidRDefault="00B9305B" w:rsidP="00B9305B">
      <w:pPr>
        <w:jc w:val="left"/>
        <w:rPr>
          <w:rFonts w:ascii="Times New Roman" w:eastAsia="Times New Roman" w:hAnsi="Times New Roman" w:cs="Times New Roman"/>
          <w:color w:val="000000"/>
          <w:sz w:val="27"/>
          <w:szCs w:val="27"/>
          <w:shd w:val="clear" w:color="auto" w:fill="FFFFFF"/>
          <w:lang w:eastAsia="es-AR"/>
        </w:rPr>
      </w:pPr>
      <w:hyperlink r:id="rId9" w:history="1">
        <w:r w:rsidRPr="00B9305B">
          <w:rPr>
            <w:rFonts w:ascii="Tahoma" w:eastAsia="Times New Roman" w:hAnsi="Tahoma" w:cs="Tahoma"/>
            <w:color w:val="002FAA"/>
            <w:sz w:val="17"/>
            <w:lang w:eastAsia="es-AR"/>
          </w:rPr>
          <w:t>Inst. Gral. DGA N° 2/2012</w:t>
        </w:r>
      </w:hyperlink>
      <w:r w:rsidRPr="00B9305B">
        <w:rPr>
          <w:rFonts w:ascii="Times New Roman" w:eastAsia="Times New Roman" w:hAnsi="Times New Roman" w:cs="Times New Roman"/>
          <w:color w:val="000000"/>
          <w:sz w:val="27"/>
          <w:szCs w:val="27"/>
          <w:lang w:eastAsia="es-AR"/>
        </w:rPr>
        <w:br/>
      </w:r>
      <w:r w:rsidRPr="00B9305B">
        <w:rPr>
          <w:rFonts w:ascii="Times New Roman" w:eastAsia="Times New Roman" w:hAnsi="Times New Roman" w:cs="Times New Roman"/>
          <w:color w:val="000000"/>
          <w:sz w:val="27"/>
          <w:szCs w:val="27"/>
          <w:lang w:eastAsia="es-AR"/>
        </w:rPr>
        <w:br/>
      </w:r>
    </w:p>
    <w:p w:rsidR="00B9305B" w:rsidRPr="00B9305B" w:rsidRDefault="00B9305B" w:rsidP="00B9305B">
      <w:pPr>
        <w:jc w:val="left"/>
        <w:rPr>
          <w:rFonts w:ascii="Times New Roman" w:eastAsia="Times New Roman" w:hAnsi="Times New Roman" w:cs="Times New Roman"/>
          <w:color w:val="000000"/>
          <w:sz w:val="27"/>
          <w:szCs w:val="27"/>
          <w:shd w:val="clear" w:color="auto" w:fill="FFFFFF"/>
          <w:lang w:eastAsia="es-AR"/>
        </w:rPr>
      </w:pPr>
      <w:r w:rsidRPr="00B9305B">
        <w:rPr>
          <w:rFonts w:ascii="Times New Roman" w:eastAsia="Times New Roman" w:hAnsi="Times New Roman" w:cs="Times New Roman"/>
          <w:color w:val="000000"/>
          <w:sz w:val="27"/>
          <w:szCs w:val="27"/>
          <w:shd w:val="clear" w:color="auto" w:fill="FFFFFF"/>
          <w:lang w:eastAsia="es-AR"/>
        </w:rPr>
        <w:pict>
          <v:rect id="_x0000_i1025" style="width:0;height:.75pt" o:hralign="center" o:hrstd="t" o:hr="t" fillcolor="#aca899" stroked="f"/>
        </w:pict>
      </w:r>
    </w:p>
    <w:tbl>
      <w:tblPr>
        <w:tblW w:w="4750" w:type="pct"/>
        <w:jc w:val="center"/>
        <w:tblCellSpacing w:w="15" w:type="dxa"/>
        <w:tblCellMar>
          <w:top w:w="15" w:type="dxa"/>
          <w:left w:w="15" w:type="dxa"/>
          <w:bottom w:w="15" w:type="dxa"/>
          <w:right w:w="15" w:type="dxa"/>
        </w:tblCellMar>
        <w:tblLook w:val="04A0"/>
      </w:tblPr>
      <w:tblGrid>
        <w:gridCol w:w="8482"/>
      </w:tblGrid>
      <w:tr w:rsidR="00B9305B" w:rsidRPr="00B9305B" w:rsidTr="00B9305B">
        <w:trPr>
          <w:tblCellSpacing w:w="15" w:type="dxa"/>
          <w:jc w:val="center"/>
        </w:trPr>
        <w:tc>
          <w:tcPr>
            <w:tcW w:w="0" w:type="auto"/>
            <w:vAlign w:val="center"/>
            <w:hideMark/>
          </w:tcPr>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b/>
                <w:bCs/>
                <w:color w:val="333333"/>
                <w:sz w:val="17"/>
                <w:lang w:eastAsia="es-AR"/>
              </w:rPr>
              <w:t>ADMINISTRACIÓN FEDERAL DE INGRESOS PÚBLICOS</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b/>
                <w:bCs/>
                <w:color w:val="333333"/>
                <w:sz w:val="17"/>
                <w:lang w:eastAsia="es-AR"/>
              </w:rPr>
              <w:t>Instrucción General Nº 5/2016</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color w:val="333333"/>
                <w:sz w:val="17"/>
                <w:szCs w:val="17"/>
                <w:lang w:eastAsia="es-AR"/>
              </w:rPr>
              <w:t>Buenos Aires, 1 de Agosto de 2016.</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b/>
                <w:bCs/>
                <w:color w:val="333333"/>
                <w:sz w:val="17"/>
                <w:lang w:eastAsia="es-AR"/>
              </w:rPr>
              <w:t>A. INTRODUCCIÓN</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color w:val="333333"/>
                <w:sz w:val="17"/>
                <w:szCs w:val="17"/>
                <w:lang w:eastAsia="es-AR"/>
              </w:rPr>
              <w:t>La</w:t>
            </w:r>
            <w:r w:rsidRPr="00B9305B">
              <w:rPr>
                <w:rFonts w:ascii="Tahoma" w:eastAsia="Times New Roman" w:hAnsi="Tahoma" w:cs="Tahoma"/>
                <w:color w:val="333333"/>
                <w:sz w:val="17"/>
                <w:lang w:eastAsia="es-AR"/>
              </w:rPr>
              <w:t> </w:t>
            </w:r>
            <w:hyperlink r:id="rId10" w:history="1">
              <w:r w:rsidRPr="00B9305B">
                <w:rPr>
                  <w:rFonts w:ascii="Tahoma" w:eastAsia="Times New Roman" w:hAnsi="Tahoma" w:cs="Tahoma"/>
                  <w:color w:val="002FAA"/>
                  <w:sz w:val="17"/>
                  <w:lang w:eastAsia="es-AR"/>
                </w:rPr>
                <w:t>Instrucción General Nº 2 (DGA) del 23 de enero de 2012</w:t>
              </w:r>
            </w:hyperlink>
            <w:r w:rsidRPr="00B9305B">
              <w:rPr>
                <w:rFonts w:ascii="Tahoma" w:eastAsia="Times New Roman" w:hAnsi="Tahoma" w:cs="Tahoma"/>
                <w:color w:val="333333"/>
                <w:sz w:val="17"/>
                <w:lang w:eastAsia="es-AR"/>
              </w:rPr>
              <w:t> </w:t>
            </w:r>
            <w:r w:rsidRPr="00B9305B">
              <w:rPr>
                <w:rFonts w:ascii="Tahoma" w:eastAsia="Times New Roman" w:hAnsi="Tahoma" w:cs="Tahoma"/>
                <w:color w:val="333333"/>
                <w:sz w:val="17"/>
                <w:szCs w:val="17"/>
                <w:lang w:eastAsia="es-AR"/>
              </w:rPr>
              <w:t>estableció el procedimiento a aplicar para la resolución de los sumarios iniciados por presunta infracción al</w:t>
            </w:r>
            <w:r w:rsidRPr="00B9305B">
              <w:rPr>
                <w:rFonts w:ascii="Tahoma" w:eastAsia="Times New Roman" w:hAnsi="Tahoma" w:cs="Tahoma"/>
                <w:color w:val="333333"/>
                <w:sz w:val="17"/>
                <w:lang w:eastAsia="es-AR"/>
              </w:rPr>
              <w:t> </w:t>
            </w:r>
            <w:hyperlink r:id="rId11" w:history="1">
              <w:r w:rsidRPr="00B9305B">
                <w:rPr>
                  <w:rFonts w:ascii="Tahoma" w:eastAsia="Times New Roman" w:hAnsi="Tahoma" w:cs="Tahoma"/>
                  <w:color w:val="002FAA"/>
                  <w:sz w:val="17"/>
                  <w:lang w:eastAsia="es-AR"/>
                </w:rPr>
                <w:t>Artículo 954</w:t>
              </w:r>
            </w:hyperlink>
            <w:r w:rsidRPr="00B9305B">
              <w:rPr>
                <w:rFonts w:ascii="Tahoma" w:eastAsia="Times New Roman" w:hAnsi="Tahoma" w:cs="Tahoma"/>
                <w:color w:val="333333"/>
                <w:sz w:val="17"/>
                <w:szCs w:val="17"/>
                <w:lang w:eastAsia="es-AR"/>
              </w:rPr>
              <w:t>, apartado 1, inciso c), del Código Aduanero, disponiendo que procedía imputar y condenar por aplicación de ese precepto a los exportadores que no acrediten el ingreso de las divisas correspondientes a sus operaciones de comercio exterior y por aplicación del</w:t>
            </w:r>
            <w:r w:rsidRPr="00B9305B">
              <w:rPr>
                <w:rFonts w:ascii="Tahoma" w:eastAsia="Times New Roman" w:hAnsi="Tahoma" w:cs="Tahoma"/>
                <w:color w:val="333333"/>
                <w:sz w:val="17"/>
                <w:lang w:eastAsia="es-AR"/>
              </w:rPr>
              <w:t> </w:t>
            </w:r>
            <w:hyperlink r:id="rId12" w:history="1">
              <w:r w:rsidRPr="00B9305B">
                <w:rPr>
                  <w:rFonts w:ascii="Tahoma" w:eastAsia="Times New Roman" w:hAnsi="Tahoma" w:cs="Tahoma"/>
                  <w:color w:val="002FAA"/>
                  <w:sz w:val="17"/>
                  <w:lang w:eastAsia="es-AR"/>
                </w:rPr>
                <w:t>Artículo 994</w:t>
              </w:r>
            </w:hyperlink>
            <w:r w:rsidRPr="00B9305B">
              <w:rPr>
                <w:rFonts w:ascii="Tahoma" w:eastAsia="Times New Roman" w:hAnsi="Tahoma" w:cs="Tahoma"/>
                <w:color w:val="333333"/>
                <w:sz w:val="17"/>
                <w:szCs w:val="17"/>
                <w:lang w:eastAsia="es-AR"/>
              </w:rPr>
              <w:t>, inciso c), del mismo Código a los exportadores que acrediten su ingreso en forma tardía.</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color w:val="333333"/>
                <w:sz w:val="17"/>
                <w:szCs w:val="17"/>
                <w:lang w:eastAsia="es-AR"/>
              </w:rPr>
              <w:t>Dado que la jurisprudencia entendió que la materia sobre la que versa la citada instrucción general resulta propia de la competencia asignada por el ordenamiento jurídico al Banco Central de la República Argentina, criterio que sometido a estudio fue compartido por las áreas técnico jurídicas del Organismo, procede dejar sin efecto la norma aludida y establecer las pautas a las que deberán ajustar su actuación las áreas que se encuentran a cargo de la sustanciación y resolución de los sumarios señalados en el párrafo anterior.</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b/>
                <w:bCs/>
                <w:color w:val="333333"/>
                <w:sz w:val="17"/>
                <w:lang w:eastAsia="es-AR"/>
              </w:rPr>
              <w:t>B. PROCEDIMIENTO</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color w:val="333333"/>
                <w:sz w:val="17"/>
                <w:szCs w:val="17"/>
                <w:lang w:eastAsia="es-AR"/>
              </w:rPr>
              <w:t>1. En los sumarios iniciados en cumplimiento de las previsiones de la</w:t>
            </w:r>
            <w:r w:rsidRPr="00B9305B">
              <w:rPr>
                <w:rFonts w:ascii="Tahoma" w:eastAsia="Times New Roman" w:hAnsi="Tahoma" w:cs="Tahoma"/>
                <w:color w:val="333333"/>
                <w:sz w:val="17"/>
                <w:lang w:eastAsia="es-AR"/>
              </w:rPr>
              <w:t> </w:t>
            </w:r>
            <w:hyperlink r:id="rId13" w:history="1">
              <w:r w:rsidRPr="00B9305B">
                <w:rPr>
                  <w:rFonts w:ascii="Tahoma" w:eastAsia="Times New Roman" w:hAnsi="Tahoma" w:cs="Tahoma"/>
                  <w:color w:val="002FAA"/>
                  <w:sz w:val="17"/>
                  <w:lang w:eastAsia="es-AR"/>
                </w:rPr>
                <w:t>Instrucción General Nº 2/12</w:t>
              </w:r>
            </w:hyperlink>
            <w:r w:rsidRPr="00B9305B">
              <w:rPr>
                <w:rFonts w:ascii="Tahoma" w:eastAsia="Times New Roman" w:hAnsi="Tahoma" w:cs="Tahoma"/>
                <w:color w:val="333333"/>
                <w:sz w:val="17"/>
                <w:lang w:eastAsia="es-AR"/>
              </w:rPr>
              <w:t> </w:t>
            </w:r>
            <w:r w:rsidRPr="00B9305B">
              <w:rPr>
                <w:rFonts w:ascii="Tahoma" w:eastAsia="Times New Roman" w:hAnsi="Tahoma" w:cs="Tahoma"/>
                <w:color w:val="333333"/>
                <w:sz w:val="17"/>
                <w:szCs w:val="17"/>
                <w:lang w:eastAsia="es-AR"/>
              </w:rPr>
              <w:t>(DGA) las áreas que tengan a cargo su resolución deberán proceder a declarar su incompetencia en razón de la materia y la consecuente nulidad.</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color w:val="333333"/>
                <w:sz w:val="17"/>
                <w:szCs w:val="17"/>
                <w:lang w:eastAsia="es-AR"/>
              </w:rPr>
              <w:t>2. De acuerdo con los términos del Artículo 6º de la</w:t>
            </w:r>
            <w:r w:rsidRPr="00B9305B">
              <w:rPr>
                <w:rFonts w:ascii="Tahoma" w:eastAsia="Times New Roman" w:hAnsi="Tahoma" w:cs="Tahoma"/>
                <w:color w:val="333333"/>
                <w:sz w:val="17"/>
                <w:lang w:eastAsia="es-AR"/>
              </w:rPr>
              <w:t> </w:t>
            </w:r>
            <w:hyperlink r:id="rId14" w:history="1">
              <w:r w:rsidRPr="00B9305B">
                <w:rPr>
                  <w:rFonts w:ascii="Tahoma" w:eastAsia="Times New Roman" w:hAnsi="Tahoma" w:cs="Tahoma"/>
                  <w:color w:val="002FAA"/>
                  <w:sz w:val="17"/>
                  <w:lang w:eastAsia="es-AR"/>
                </w:rPr>
                <w:t>Ley Nº 19.359</w:t>
              </w:r>
            </w:hyperlink>
            <w:r w:rsidRPr="00B9305B">
              <w:rPr>
                <w:rFonts w:ascii="Tahoma" w:eastAsia="Times New Roman" w:hAnsi="Tahoma" w:cs="Tahoma"/>
                <w:color w:val="333333"/>
                <w:sz w:val="17"/>
                <w:szCs w:val="17"/>
                <w:lang w:eastAsia="es-AR"/>
              </w:rPr>
              <w:t>, texto ordenado por el</w:t>
            </w:r>
            <w:r w:rsidRPr="00B9305B">
              <w:rPr>
                <w:rFonts w:ascii="Tahoma" w:eastAsia="Times New Roman" w:hAnsi="Tahoma" w:cs="Tahoma"/>
                <w:color w:val="333333"/>
                <w:sz w:val="17"/>
                <w:lang w:eastAsia="es-AR"/>
              </w:rPr>
              <w:t> </w:t>
            </w:r>
            <w:hyperlink r:id="rId15" w:history="1">
              <w:r w:rsidRPr="00B9305B">
                <w:rPr>
                  <w:rFonts w:ascii="Tahoma" w:eastAsia="Times New Roman" w:hAnsi="Tahoma" w:cs="Tahoma"/>
                  <w:color w:val="002FAA"/>
                  <w:sz w:val="17"/>
                  <w:lang w:eastAsia="es-AR"/>
                </w:rPr>
                <w:t>Decreto Nº 480 del 20 de septiembre de 1995</w:t>
              </w:r>
            </w:hyperlink>
            <w:r w:rsidRPr="00B9305B">
              <w:rPr>
                <w:rFonts w:ascii="Tahoma" w:eastAsia="Times New Roman" w:hAnsi="Tahoma" w:cs="Tahoma"/>
                <w:color w:val="333333"/>
                <w:sz w:val="17"/>
                <w:lang w:eastAsia="es-AR"/>
              </w:rPr>
              <w:t> </w:t>
            </w:r>
            <w:r w:rsidRPr="00B9305B">
              <w:rPr>
                <w:rFonts w:ascii="Tahoma" w:eastAsia="Times New Roman" w:hAnsi="Tahoma" w:cs="Tahoma"/>
                <w:color w:val="333333"/>
                <w:sz w:val="17"/>
                <w:szCs w:val="17"/>
                <w:lang w:eastAsia="es-AR"/>
              </w:rPr>
              <w:t>y sus modificaciones, deberán remitirse al Banco Central de la República Argentina los antecedentes de los casos indicados en el punto 1.</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color w:val="333333"/>
                <w:sz w:val="17"/>
                <w:szCs w:val="17"/>
                <w:lang w:eastAsia="es-AR"/>
              </w:rPr>
              <w:t xml:space="preserve">En mérito a razones de economía administrativa, se omitirá efectuar la remisión mencionada cuando las áreas </w:t>
            </w:r>
            <w:r w:rsidRPr="00B9305B">
              <w:rPr>
                <w:rFonts w:ascii="Tahoma" w:eastAsia="Times New Roman" w:hAnsi="Tahoma" w:cs="Tahoma"/>
                <w:color w:val="333333"/>
                <w:sz w:val="17"/>
                <w:szCs w:val="17"/>
                <w:lang w:eastAsia="es-AR"/>
              </w:rPr>
              <w:lastRenderedPageBreak/>
              <w:t>competentes comprueben que la Institución indicada cuenta con la información pertinente.</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b/>
                <w:bCs/>
                <w:color w:val="333333"/>
                <w:sz w:val="17"/>
                <w:lang w:eastAsia="es-AR"/>
              </w:rPr>
              <w:t>C. DEROGACIÓN</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proofErr w:type="spellStart"/>
            <w:r w:rsidRPr="00B9305B">
              <w:rPr>
                <w:rFonts w:ascii="Tahoma" w:eastAsia="Times New Roman" w:hAnsi="Tahoma" w:cs="Tahoma"/>
                <w:color w:val="333333"/>
                <w:sz w:val="17"/>
                <w:szCs w:val="17"/>
                <w:lang w:eastAsia="es-AR"/>
              </w:rPr>
              <w:t>Déjase</w:t>
            </w:r>
            <w:proofErr w:type="spellEnd"/>
            <w:r w:rsidRPr="00B9305B">
              <w:rPr>
                <w:rFonts w:ascii="Tahoma" w:eastAsia="Times New Roman" w:hAnsi="Tahoma" w:cs="Tahoma"/>
                <w:color w:val="333333"/>
                <w:sz w:val="17"/>
                <w:szCs w:val="17"/>
                <w:lang w:eastAsia="es-AR"/>
              </w:rPr>
              <w:t xml:space="preserve"> sin efecto la</w:t>
            </w:r>
            <w:r w:rsidRPr="00B9305B">
              <w:rPr>
                <w:rFonts w:ascii="Tahoma" w:eastAsia="Times New Roman" w:hAnsi="Tahoma" w:cs="Tahoma"/>
                <w:color w:val="333333"/>
                <w:sz w:val="17"/>
                <w:lang w:eastAsia="es-AR"/>
              </w:rPr>
              <w:t> </w:t>
            </w:r>
            <w:hyperlink r:id="rId16" w:history="1">
              <w:r w:rsidRPr="00B9305B">
                <w:rPr>
                  <w:rFonts w:ascii="Tahoma" w:eastAsia="Times New Roman" w:hAnsi="Tahoma" w:cs="Tahoma"/>
                  <w:color w:val="002FAA"/>
                  <w:sz w:val="17"/>
                  <w:lang w:eastAsia="es-AR"/>
                </w:rPr>
                <w:t>Instrucción General Nº 2/12</w:t>
              </w:r>
            </w:hyperlink>
            <w:r w:rsidRPr="00B9305B">
              <w:rPr>
                <w:rFonts w:ascii="Tahoma" w:eastAsia="Times New Roman" w:hAnsi="Tahoma" w:cs="Tahoma"/>
                <w:color w:val="333333"/>
                <w:sz w:val="17"/>
                <w:lang w:eastAsia="es-AR"/>
              </w:rPr>
              <w:t> </w:t>
            </w:r>
            <w:r w:rsidRPr="00B9305B">
              <w:rPr>
                <w:rFonts w:ascii="Tahoma" w:eastAsia="Times New Roman" w:hAnsi="Tahoma" w:cs="Tahoma"/>
                <w:color w:val="333333"/>
                <w:sz w:val="17"/>
                <w:szCs w:val="17"/>
                <w:lang w:eastAsia="es-AR"/>
              </w:rPr>
              <w:t>(DGA).</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b/>
                <w:bCs/>
                <w:color w:val="333333"/>
                <w:sz w:val="17"/>
                <w:lang w:eastAsia="es-AR"/>
              </w:rPr>
              <w:t>D. VIGENCIA</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color w:val="333333"/>
                <w:sz w:val="17"/>
                <w:szCs w:val="17"/>
                <w:lang w:eastAsia="es-AR"/>
              </w:rPr>
              <w:t>La presente instrucción general entrará en vigencia el día de su dictado.</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b/>
                <w:bCs/>
                <w:color w:val="333333"/>
                <w:sz w:val="17"/>
                <w:lang w:eastAsia="es-AR"/>
              </w:rPr>
              <w:t>E. DIFUSIÓN</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color w:val="333333"/>
                <w:sz w:val="17"/>
                <w:szCs w:val="17"/>
                <w:lang w:eastAsia="es-AR"/>
              </w:rPr>
              <w:t>Regístrese, comuníquese a las Subdirecciones General de Asuntos Jurídicos, Técnico Legal Aduanera, de operaciones Aduaneras del Interior y, por intermedio de ellas, a las áreas que les dependen que resulten competentes en la materia. Cumplido, archívese.</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color w:val="333333"/>
                <w:sz w:val="17"/>
                <w:szCs w:val="17"/>
                <w:lang w:eastAsia="es-AR"/>
              </w:rPr>
              <w:t>Dr. Alberto Abad</w:t>
            </w:r>
            <w:r w:rsidRPr="00B9305B">
              <w:rPr>
                <w:rFonts w:ascii="Tahoma" w:eastAsia="Times New Roman" w:hAnsi="Tahoma" w:cs="Tahoma"/>
                <w:color w:val="333333"/>
                <w:sz w:val="17"/>
                <w:szCs w:val="17"/>
                <w:lang w:eastAsia="es-AR"/>
              </w:rPr>
              <w:br/>
              <w:t>Administrador Federal</w:t>
            </w:r>
            <w:r w:rsidRPr="00B9305B">
              <w:rPr>
                <w:rFonts w:ascii="Tahoma" w:eastAsia="Times New Roman" w:hAnsi="Tahoma" w:cs="Tahoma"/>
                <w:color w:val="333333"/>
                <w:sz w:val="17"/>
                <w:szCs w:val="17"/>
                <w:lang w:eastAsia="es-AR"/>
              </w:rPr>
              <w:br/>
              <w:t>Administración Federal de Ingresos Públicos</w:t>
            </w:r>
          </w:p>
          <w:p w:rsidR="00B9305B" w:rsidRPr="00B9305B" w:rsidRDefault="00B9305B" w:rsidP="00B9305B">
            <w:pPr>
              <w:spacing w:before="100" w:beforeAutospacing="1" w:after="100" w:afterAutospacing="1"/>
              <w:jc w:val="left"/>
              <w:rPr>
                <w:rFonts w:ascii="Tahoma" w:eastAsia="Times New Roman" w:hAnsi="Tahoma" w:cs="Tahoma"/>
                <w:color w:val="333333"/>
                <w:sz w:val="17"/>
                <w:szCs w:val="17"/>
                <w:lang w:eastAsia="es-AR"/>
              </w:rPr>
            </w:pPr>
            <w:r w:rsidRPr="00B9305B">
              <w:rPr>
                <w:rFonts w:ascii="Tahoma" w:eastAsia="Times New Roman" w:hAnsi="Tahoma" w:cs="Tahoma"/>
                <w:b/>
                <w:bCs/>
                <w:color w:val="333333"/>
                <w:sz w:val="17"/>
                <w:lang w:eastAsia="es-AR"/>
              </w:rPr>
              <w:t>Nota: Fuente CERA</w:t>
            </w:r>
          </w:p>
        </w:tc>
      </w:tr>
    </w:tbl>
    <w:p w:rsidR="00CB4D5D" w:rsidRDefault="00B9305B"/>
    <w:sectPr w:rsidR="00CB4D5D" w:rsidSect="002E0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05B"/>
    <w:rsid w:val="002E0E1F"/>
    <w:rsid w:val="00691E4F"/>
    <w:rsid w:val="008F3E82"/>
    <w:rsid w:val="00B538D9"/>
    <w:rsid w:val="00B921C6"/>
    <w:rsid w:val="00B9305B"/>
    <w:rsid w:val="00D3750F"/>
    <w:rsid w:val="00D961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9305B"/>
  </w:style>
  <w:style w:type="character" w:styleId="Hipervnculo">
    <w:name w:val="Hyperlink"/>
    <w:basedOn w:val="Fuentedeprrafopredeter"/>
    <w:uiPriority w:val="99"/>
    <w:semiHidden/>
    <w:unhideWhenUsed/>
    <w:rsid w:val="00B9305B"/>
    <w:rPr>
      <w:color w:val="0000FF"/>
      <w:u w:val="single"/>
    </w:rPr>
  </w:style>
  <w:style w:type="character" w:customStyle="1" w:styleId="titu">
    <w:name w:val="titu"/>
    <w:basedOn w:val="Fuentedeprrafopredeter"/>
    <w:rsid w:val="00B9305B"/>
  </w:style>
  <w:style w:type="paragraph" w:styleId="NormalWeb">
    <w:name w:val="Normal (Web)"/>
    <w:basedOn w:val="Normal"/>
    <w:uiPriority w:val="99"/>
    <w:unhideWhenUsed/>
    <w:rsid w:val="00B9305B"/>
    <w:pPr>
      <w:spacing w:before="100" w:beforeAutospacing="1" w:after="100" w:afterAutospacing="1"/>
      <w:jc w:val="left"/>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9305B"/>
    <w:rPr>
      <w:b/>
      <w:bCs/>
    </w:rPr>
  </w:style>
  <w:style w:type="paragraph" w:styleId="Textodeglobo">
    <w:name w:val="Balloon Text"/>
    <w:basedOn w:val="Normal"/>
    <w:link w:val="TextodegloboCar"/>
    <w:uiPriority w:val="99"/>
    <w:semiHidden/>
    <w:unhideWhenUsed/>
    <w:rsid w:val="00B9305B"/>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5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ifar.com/tarifar/biblioteca/legislacion/showLeg.jsp?idLey=34667" TargetMode="External"/><Relationship Id="rId13" Type="http://schemas.openxmlformats.org/officeDocument/2006/relationships/hyperlink" Target="http://www.tarifar.com/tarifar/biblioteca/legislacion/showLeg.jsp?idLey=3466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arifar.com/tarifar/biblioteca/legislacion/showLeg.jsp?idLey=34667" TargetMode="External"/><Relationship Id="rId12" Type="http://schemas.openxmlformats.org/officeDocument/2006/relationships/hyperlink" Target="http://www.tarifar.com/tarifar/biblioteca/legislacion/showLeg.jsp?idLey=3466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arifar.com/tarifar/biblioteca/legislacion/showLeg.jsp?idLey=34667"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tarifar.com/tarifar/biblioteca/legislacion/showLeg.jsp?idLey=34667" TargetMode="External"/><Relationship Id="rId5" Type="http://schemas.openxmlformats.org/officeDocument/2006/relationships/hyperlink" Target="javascript:void(0);" TargetMode="External"/><Relationship Id="rId15" Type="http://schemas.openxmlformats.org/officeDocument/2006/relationships/hyperlink" Target="http://www.tarifar.com/tarifar/biblioteca/legislacion/showLeg.jsp?idLey=34667" TargetMode="External"/><Relationship Id="rId10" Type="http://schemas.openxmlformats.org/officeDocument/2006/relationships/hyperlink" Target="http://www.tarifar.com/tarifar/biblioteca/legislacion/showLeg.jsp?idLey=34667" TargetMode="External"/><Relationship Id="rId4" Type="http://schemas.openxmlformats.org/officeDocument/2006/relationships/hyperlink" Target="javascript:void(0);" TargetMode="External"/><Relationship Id="rId9" Type="http://schemas.openxmlformats.org/officeDocument/2006/relationships/hyperlink" Target="http://www.tarifar.com/tarifar/biblioteca/legislacion/showLeg.jsp?idLey=34667" TargetMode="External"/><Relationship Id="rId14" Type="http://schemas.openxmlformats.org/officeDocument/2006/relationships/hyperlink" Target="http://www.tarifar.com/tarifar/biblioteca/legislacion/showLeg.jsp?idLey=346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3265</Characters>
  <Application>Microsoft Office Word</Application>
  <DocSecurity>0</DocSecurity>
  <Lines>27</Lines>
  <Paragraphs>7</Paragraphs>
  <ScaleCrop>false</ScaleCrop>
  <Company>Adimra</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2016-08-18T16:12:00Z</dcterms:created>
  <dcterms:modified xsi:type="dcterms:W3CDTF">2016-08-18T16:13:00Z</dcterms:modified>
</cp:coreProperties>
</file>